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7BA7" w14:textId="77777777" w:rsidR="00333376" w:rsidRDefault="004606AE">
      <w:pPr>
        <w:spacing w:after="80"/>
        <w:jc w:val="center"/>
      </w:pPr>
      <w:r>
        <w:rPr>
          <w:rFonts w:eastAsia="Times New Roman"/>
          <w:b/>
          <w:bCs/>
          <w:sz w:val="32"/>
          <w:szCs w:val="32"/>
        </w:rPr>
        <w:t>Replication Package</w:t>
      </w:r>
    </w:p>
    <w:p w14:paraId="1E196639" w14:textId="214BFF11" w:rsidR="00333376" w:rsidRDefault="004606AE">
      <w:pPr>
        <w:spacing w:after="60"/>
        <w:jc w:val="center"/>
        <w:rPr>
          <w:rFonts w:eastAsia="Times New Roman"/>
          <w:b/>
          <w:bCs/>
          <w:i/>
          <w:iCs/>
          <w:sz w:val="28"/>
          <w:szCs w:val="28"/>
        </w:rPr>
      </w:pPr>
      <w:r>
        <w:rPr>
          <w:rFonts w:eastAsia="Times New Roman"/>
          <w:b/>
          <w:bCs/>
          <w:i/>
          <w:iCs/>
          <w:sz w:val="28"/>
          <w:szCs w:val="28"/>
        </w:rPr>
        <w:t>“Decoding the Pricing of Uncertainty Shocks”</w:t>
      </w:r>
    </w:p>
    <w:p w14:paraId="7B84FE72" w14:textId="2F837294" w:rsidR="009D7930" w:rsidRPr="009D7930" w:rsidRDefault="009D7930">
      <w:pPr>
        <w:spacing w:after="60"/>
        <w:jc w:val="center"/>
        <w:rPr>
          <w:rFonts w:eastAsia="Malgun Gothic"/>
          <w:lang w:eastAsia="ko-KR"/>
        </w:rPr>
      </w:pPr>
      <w:r>
        <w:rPr>
          <w:rFonts w:eastAsia="Malgun Gothic"/>
          <w:b/>
          <w:bCs/>
          <w:i/>
          <w:iCs/>
          <w:sz w:val="28"/>
          <w:szCs w:val="28"/>
          <w:lang w:eastAsia="ko-KR"/>
        </w:rPr>
        <w:t>By Zhanhui Chen, Michael Gallmeyer, and Baek-Chun Kim</w:t>
      </w:r>
    </w:p>
    <w:p w14:paraId="3BC25307" w14:textId="5F7C9270" w:rsidR="00A05B6C" w:rsidRPr="009D7930" w:rsidRDefault="004606AE" w:rsidP="00A05B6C">
      <w:pPr>
        <w:spacing w:after="320"/>
        <w:jc w:val="center"/>
        <w:rPr>
          <w:i/>
          <w:iCs/>
          <w:sz w:val="28"/>
          <w:szCs w:val="28"/>
        </w:rPr>
      </w:pPr>
      <w:r w:rsidRPr="009D7930">
        <w:rPr>
          <w:rFonts w:eastAsia="Times New Roman"/>
          <w:i/>
          <w:iCs/>
          <w:sz w:val="28"/>
          <w:szCs w:val="28"/>
        </w:rPr>
        <w:t>Management Science</w:t>
      </w:r>
      <w:r w:rsidR="00A05B6C" w:rsidRPr="009D7930">
        <w:rPr>
          <w:rFonts w:eastAsia="Times New Roman"/>
          <w:i/>
          <w:iCs/>
          <w:sz w:val="28"/>
          <w:szCs w:val="28"/>
        </w:rPr>
        <w:t xml:space="preserve"> </w:t>
      </w:r>
    </w:p>
    <w:p w14:paraId="19495894" w14:textId="77777777" w:rsidR="00333376" w:rsidRDefault="004606AE">
      <w:pPr>
        <w:pStyle w:val="Heading1"/>
        <w:spacing w:before="280" w:after="140"/>
      </w:pPr>
      <w:r>
        <w:rPr>
          <w:rFonts w:eastAsia="Times New Roman"/>
          <w:b/>
          <w:bCs/>
          <w:color w:val="000000"/>
          <w:sz w:val="28"/>
          <w:szCs w:val="28"/>
        </w:rPr>
        <w:t>1. Overview</w:t>
      </w:r>
    </w:p>
    <w:p w14:paraId="2DD7E096" w14:textId="2D5F163B" w:rsidR="00333376" w:rsidRDefault="004606AE">
      <w:pPr>
        <w:spacing w:after="120"/>
      </w:pPr>
      <w:r>
        <w:rPr>
          <w:rFonts w:eastAsia="Times New Roman"/>
          <w:sz w:val="22"/>
          <w:szCs w:val="22"/>
        </w:rPr>
        <w:t>This package contains the programs and the data files that reproduce the tables and the figure of the paper. The programs are organized into a preparation folder (Preparation), two data folders (data and output), one folder per table (Table1 to Table8), a figure folder (Figure1)</w:t>
      </w:r>
      <w:r w:rsidR="001668EE">
        <w:rPr>
          <w:rFonts w:eastAsia="Times New Roman"/>
          <w:sz w:val="22"/>
          <w:szCs w:val="22"/>
        </w:rPr>
        <w:t>, and log folder (logs)</w:t>
      </w:r>
      <w:r>
        <w:rPr>
          <w:rFonts w:eastAsia="Times New Roman"/>
          <w:sz w:val="22"/>
          <w:szCs w:val="22"/>
        </w:rPr>
        <w:t>. Each table folder is self-contained: it holds the programs and the input files for that table.</w:t>
      </w:r>
    </w:p>
    <w:p w14:paraId="058B48C3" w14:textId="1190AADD" w:rsidR="00A07834" w:rsidRDefault="004606AE">
      <w:pPr>
        <w:spacing w:after="120"/>
      </w:pPr>
      <w:r>
        <w:rPr>
          <w:rFonts w:eastAsia="Times New Roman"/>
          <w:b/>
          <w:bCs/>
          <w:sz w:val="22"/>
          <w:szCs w:val="22"/>
        </w:rPr>
        <w:t xml:space="preserve">Software: </w:t>
      </w:r>
      <w:r>
        <w:rPr>
          <w:rFonts w:eastAsia="Times New Roman"/>
          <w:sz w:val="22"/>
          <w:szCs w:val="22"/>
        </w:rPr>
        <w:t>Stata 14, SAS 9.4, and MATLAB R2021b.</w:t>
      </w:r>
      <w:r w:rsidR="00A07834">
        <w:rPr>
          <w:rFonts w:eastAsia="Times New Roman"/>
          <w:sz w:val="22"/>
          <w:szCs w:val="22"/>
        </w:rPr>
        <w:t xml:space="preserve"> For Stata, reghdfe, outreg2, ffind, cfitzrw packages are required.</w:t>
      </w:r>
    </w:p>
    <w:p w14:paraId="31E76DD7" w14:textId="137A6C72" w:rsidR="00333376" w:rsidRDefault="00157E22">
      <w:pPr>
        <w:spacing w:after="120"/>
      </w:pPr>
      <w:r>
        <w:rPr>
          <w:rFonts w:eastAsia="Times New Roman"/>
          <w:b/>
          <w:bCs/>
          <w:sz w:val="22"/>
          <w:szCs w:val="22"/>
        </w:rPr>
        <w:t>Directory path</w:t>
      </w:r>
      <w:r w:rsidR="004606AE">
        <w:rPr>
          <w:rFonts w:eastAsia="Times New Roman"/>
          <w:b/>
          <w:bCs/>
          <w:sz w:val="22"/>
          <w:szCs w:val="22"/>
        </w:rPr>
        <w:t xml:space="preserve">: </w:t>
      </w:r>
      <w:r w:rsidR="004606AE">
        <w:rPr>
          <w:rFonts w:eastAsia="Times New Roman"/>
          <w:sz w:val="22"/>
          <w:szCs w:val="22"/>
        </w:rPr>
        <w:t>every program defines the project path</w:t>
      </w:r>
      <w:r w:rsidR="001668EE">
        <w:rPr>
          <w:rFonts w:eastAsia="Times New Roman"/>
          <w:sz w:val="22"/>
          <w:szCs w:val="22"/>
        </w:rPr>
        <w:t>s</w:t>
      </w:r>
      <w:r w:rsidR="004606AE">
        <w:rPr>
          <w:rFonts w:eastAsia="Times New Roman"/>
          <w:sz w:val="22"/>
          <w:szCs w:val="22"/>
        </w:rPr>
        <w:t xml:space="preserve"> (</w:t>
      </w:r>
      <w:r w:rsidR="001668EE">
        <w:rPr>
          <w:rFonts w:eastAsia="Times New Roman"/>
          <w:sz w:val="22"/>
          <w:szCs w:val="22"/>
        </w:rPr>
        <w:t xml:space="preserve">e.g., </w:t>
      </w:r>
      <w:r w:rsidR="004606AE">
        <w:rPr>
          <w:rFonts w:ascii="Consolas" w:eastAsia="Consolas" w:hAnsi="Consolas" w:cs="Consolas"/>
        </w:rPr>
        <w:t>projpath = D:\SAS\TFP\Dispersion_replication</w:t>
      </w:r>
      <w:r w:rsidR="004606AE">
        <w:rPr>
          <w:rFonts w:eastAsia="Times New Roman"/>
          <w:sz w:val="22"/>
          <w:szCs w:val="22"/>
        </w:rPr>
        <w:t>) at the top. Change this path to the location of the package before running the programs.</w:t>
      </w:r>
    </w:p>
    <w:p w14:paraId="166D9DAF" w14:textId="4E69D42D" w:rsidR="00333376" w:rsidRDefault="004606AE">
      <w:pPr>
        <w:spacing w:after="120"/>
      </w:pPr>
      <w:r>
        <w:rPr>
          <w:rFonts w:eastAsia="Times New Roman"/>
          <w:b/>
          <w:bCs/>
          <w:sz w:val="22"/>
          <w:szCs w:val="22"/>
        </w:rPr>
        <w:t xml:space="preserve">Data availability: </w:t>
      </w:r>
      <w:r>
        <w:rPr>
          <w:rFonts w:eastAsia="Times New Roman"/>
          <w:sz w:val="22"/>
          <w:szCs w:val="22"/>
        </w:rPr>
        <w:t xml:space="preserve">the subscription data (CRSP and Compustat from WRDS) are not included. The outputs of the preparation programs are included in the output folder and in the table folders, so all table programs can be run without the subscription data. With WRDS access, the full pipeline can be reproduced from </w:t>
      </w:r>
      <w:r w:rsidR="001668EE">
        <w:rPr>
          <w:rFonts w:eastAsia="Times New Roman"/>
          <w:sz w:val="22"/>
          <w:szCs w:val="22"/>
        </w:rPr>
        <w:t>the codes in Preparation folder</w:t>
      </w:r>
      <w:r>
        <w:rPr>
          <w:rFonts w:eastAsia="Times New Roman"/>
          <w:sz w:val="22"/>
          <w:szCs w:val="22"/>
        </w:rPr>
        <w:t>.</w:t>
      </w:r>
    </w:p>
    <w:p w14:paraId="06470E7B" w14:textId="77777777" w:rsidR="00333376" w:rsidRDefault="004606AE">
      <w:pPr>
        <w:pStyle w:val="Heading1"/>
        <w:spacing w:before="280" w:after="140"/>
      </w:pPr>
      <w:r>
        <w:rPr>
          <w:rFonts w:eastAsia="Times New Roman"/>
          <w:b/>
          <w:bCs/>
          <w:color w:val="000000"/>
          <w:sz w:val="28"/>
          <w:szCs w:val="28"/>
        </w:rPr>
        <w:t>2. Uncertainty variable names</w:t>
      </w:r>
    </w:p>
    <w:p w14:paraId="6F03383B" w14:textId="77777777" w:rsidR="00333376" w:rsidRDefault="004606AE">
      <w:pPr>
        <w:spacing w:after="120"/>
      </w:pPr>
      <w:r>
        <w:rPr>
          <w:rFonts w:eastAsia="Times New Roman"/>
          <w:sz w:val="22"/>
          <w:szCs w:val="22"/>
        </w:rPr>
        <w:t>The uncertainty shocks of the paper appear in the programs and the data files under the following names:</w:t>
      </w:r>
    </w:p>
    <w:p w14:paraId="69912E6F" w14:textId="77777777" w:rsidR="00333376" w:rsidRDefault="004606AE">
      <w:pPr>
        <w:pStyle w:val="ListParagraph"/>
        <w:numPr>
          <w:ilvl w:val="0"/>
          <w:numId w:val="2"/>
        </w:numPr>
        <w:spacing w:after="120"/>
      </w:pPr>
      <w:r>
        <w:rPr>
          <w:rFonts w:ascii="Consolas" w:eastAsia="Consolas" w:hAnsi="Consolas" w:cs="Consolas"/>
        </w:rPr>
        <w:t>d_tfpstd_star</w:t>
      </w:r>
      <w:r>
        <w:rPr>
          <w:rFonts w:eastAsia="Times New Roman"/>
          <w:sz w:val="22"/>
          <w:szCs w:val="22"/>
        </w:rPr>
        <w:t xml:space="preserve"> = total uncertainty shock (ΔUNC)</w:t>
      </w:r>
    </w:p>
    <w:p w14:paraId="01AF5409" w14:textId="520274E1" w:rsidR="00333376" w:rsidRDefault="004606AE">
      <w:pPr>
        <w:pStyle w:val="ListParagraph"/>
        <w:numPr>
          <w:ilvl w:val="0"/>
          <w:numId w:val="2"/>
        </w:numPr>
        <w:spacing w:after="120"/>
      </w:pPr>
      <w:r>
        <w:rPr>
          <w:rFonts w:ascii="Consolas" w:eastAsia="Consolas" w:hAnsi="Consolas" w:cs="Consolas"/>
        </w:rPr>
        <w:t>d_pcahat</w:t>
      </w:r>
      <w:r>
        <w:rPr>
          <w:rFonts w:eastAsia="Times New Roman"/>
          <w:sz w:val="22"/>
          <w:szCs w:val="22"/>
        </w:rPr>
        <w:t xml:space="preserve"> = macro uncertainty shock (ΔUNC</w:t>
      </w:r>
      <w:r w:rsidR="00157E22">
        <w:rPr>
          <w:rFonts w:eastAsia="Times New Roman"/>
          <w:sz w:val="22"/>
          <w:szCs w:val="22"/>
        </w:rPr>
        <w:t>^</w:t>
      </w:r>
      <w:r>
        <w:rPr>
          <w:rFonts w:eastAsia="Times New Roman"/>
          <w:sz w:val="22"/>
          <w:szCs w:val="22"/>
        </w:rPr>
        <w:t>ma)</w:t>
      </w:r>
    </w:p>
    <w:p w14:paraId="3E378C7A" w14:textId="434ACE87" w:rsidR="00333376" w:rsidRDefault="004606AE">
      <w:pPr>
        <w:pStyle w:val="ListParagraph"/>
        <w:numPr>
          <w:ilvl w:val="0"/>
          <w:numId w:val="2"/>
        </w:numPr>
        <w:spacing w:after="120"/>
      </w:pPr>
      <w:r>
        <w:rPr>
          <w:rFonts w:ascii="Consolas" w:eastAsia="Consolas" w:hAnsi="Consolas" w:cs="Consolas"/>
        </w:rPr>
        <w:t>d_pcares</w:t>
      </w:r>
      <w:r>
        <w:rPr>
          <w:rFonts w:eastAsia="Times New Roman"/>
          <w:sz w:val="22"/>
          <w:szCs w:val="22"/>
        </w:rPr>
        <w:t xml:space="preserve"> = micro uncertainty shock (ΔUNC</w:t>
      </w:r>
      <w:r w:rsidR="00157E22">
        <w:rPr>
          <w:rFonts w:eastAsia="Times New Roman"/>
          <w:sz w:val="22"/>
          <w:szCs w:val="22"/>
        </w:rPr>
        <w:t>^</w:t>
      </w:r>
      <w:r>
        <w:rPr>
          <w:rFonts w:eastAsia="Times New Roman"/>
          <w:sz w:val="22"/>
          <w:szCs w:val="22"/>
        </w:rPr>
        <w:t>mi)</w:t>
      </w:r>
    </w:p>
    <w:p w14:paraId="7414E86E" w14:textId="4CFD961C" w:rsidR="00333376" w:rsidRDefault="004606AE">
      <w:pPr>
        <w:spacing w:after="120"/>
      </w:pPr>
      <w:r>
        <w:rPr>
          <w:rFonts w:eastAsia="Times New Roman"/>
          <w:sz w:val="22"/>
          <w:szCs w:val="22"/>
        </w:rPr>
        <w:t xml:space="preserve">The mimicking uncertainty factors (Table 4) are named </w:t>
      </w:r>
      <w:r>
        <w:rPr>
          <w:rFonts w:ascii="Consolas" w:eastAsia="Consolas" w:hAnsi="Consolas" w:cs="Consolas"/>
        </w:rPr>
        <w:t>disp</w:t>
      </w:r>
      <w:r>
        <w:rPr>
          <w:rFonts w:eastAsia="Times New Roman"/>
          <w:sz w:val="22"/>
          <w:szCs w:val="22"/>
        </w:rPr>
        <w:t xml:space="preserve"> (total), </w:t>
      </w:r>
      <w:r>
        <w:rPr>
          <w:rFonts w:ascii="Consolas" w:eastAsia="Consolas" w:hAnsi="Consolas" w:cs="Consolas"/>
        </w:rPr>
        <w:t>disp_hat</w:t>
      </w:r>
      <w:r>
        <w:rPr>
          <w:rFonts w:eastAsia="Times New Roman"/>
          <w:sz w:val="22"/>
          <w:szCs w:val="22"/>
        </w:rPr>
        <w:t xml:space="preserve"> (macro), and </w:t>
      </w:r>
      <w:r>
        <w:rPr>
          <w:rFonts w:ascii="Consolas" w:eastAsia="Consolas" w:hAnsi="Consolas" w:cs="Consolas"/>
        </w:rPr>
        <w:t>disp_res</w:t>
      </w:r>
      <w:r>
        <w:rPr>
          <w:rFonts w:eastAsia="Times New Roman"/>
          <w:sz w:val="22"/>
          <w:szCs w:val="22"/>
        </w:rPr>
        <w:t xml:space="preserve"> (micro). </w:t>
      </w:r>
    </w:p>
    <w:p w14:paraId="6125B912" w14:textId="09DA915B" w:rsidR="00333376" w:rsidRDefault="004606AE">
      <w:pPr>
        <w:pStyle w:val="Heading1"/>
        <w:spacing w:before="280" w:after="140"/>
      </w:pPr>
      <w:r>
        <w:rPr>
          <w:rFonts w:eastAsia="Times New Roman"/>
          <w:b/>
          <w:bCs/>
          <w:color w:val="000000"/>
          <w:sz w:val="28"/>
          <w:szCs w:val="28"/>
        </w:rPr>
        <w:t>3. Preparation</w:t>
      </w:r>
    </w:p>
    <w:p w14:paraId="7F39E424" w14:textId="63552A88" w:rsidR="00333376" w:rsidRDefault="004606AE">
      <w:pPr>
        <w:spacing w:after="120"/>
      </w:pPr>
      <w:r>
        <w:rPr>
          <w:rFonts w:eastAsia="Times New Roman"/>
          <w:sz w:val="22"/>
          <w:szCs w:val="22"/>
        </w:rPr>
        <w:t>The preparation programs build the data sets that are shared across the tables. Run them in the following order (with WRDS access); their outputs are saved in the data and output folders.</w:t>
      </w:r>
      <w:r w:rsidR="001668EE">
        <w:rPr>
          <w:rFonts w:eastAsia="Times New Roman"/>
          <w:sz w:val="22"/>
          <w:szCs w:val="22"/>
        </w:rPr>
        <w:t xml:space="preserve"> </w:t>
      </w:r>
      <w:r w:rsidR="001668EE" w:rsidRPr="001668EE">
        <w:rPr>
          <w:sz w:val="22"/>
          <w:szCs w:val="22"/>
        </w:rPr>
        <w:t>Run the programs in the specified order, as each program generates variables required by the subsequent programs.</w:t>
      </w:r>
    </w:p>
    <w:p w14:paraId="6AF23BE7" w14:textId="77777777" w:rsidR="00333376" w:rsidRDefault="004606AE">
      <w:pPr>
        <w:pStyle w:val="ListParagraph"/>
        <w:numPr>
          <w:ilvl w:val="0"/>
          <w:numId w:val="2"/>
        </w:numPr>
        <w:spacing w:after="120"/>
      </w:pPr>
      <w:r>
        <w:rPr>
          <w:rFonts w:ascii="Consolas" w:eastAsia="Consolas" w:hAnsi="Consolas" w:cs="Consolas"/>
          <w:b/>
          <w:bCs/>
        </w:rPr>
        <w:t>0.DataDownload.sas</w:t>
      </w:r>
      <w:r>
        <w:rPr>
          <w:rFonts w:eastAsia="Times New Roman"/>
          <w:sz w:val="22"/>
          <w:szCs w:val="22"/>
        </w:rPr>
        <w:t xml:space="preserve"> — Downloads the CRSP and Compustat data from WRDS and imports the external data files (Fama-French factors, breakpoints). Outputs are saved in data\.</w:t>
      </w:r>
    </w:p>
    <w:p w14:paraId="69F0EC73" w14:textId="4827D614" w:rsidR="00333376" w:rsidRDefault="004606AE">
      <w:pPr>
        <w:pStyle w:val="ListParagraph"/>
        <w:numPr>
          <w:ilvl w:val="0"/>
          <w:numId w:val="2"/>
        </w:numPr>
        <w:spacing w:after="120"/>
      </w:pPr>
      <w:r>
        <w:rPr>
          <w:rFonts w:ascii="Consolas" w:eastAsia="Consolas" w:hAnsi="Consolas" w:cs="Consolas"/>
          <w:b/>
          <w:bCs/>
        </w:rPr>
        <w:t>0.TFPestimation.do</w:t>
      </w:r>
      <w:r>
        <w:rPr>
          <w:rFonts w:eastAsia="Times New Roman"/>
          <w:sz w:val="22"/>
          <w:szCs w:val="22"/>
        </w:rPr>
        <w:t xml:space="preserve"> — Estimates the firm-level TFP following İmrohoroğlu and Tüzel (2014)</w:t>
      </w:r>
      <w:r w:rsidR="001668EE">
        <w:rPr>
          <w:rFonts w:eastAsia="Times New Roman"/>
          <w:sz w:val="22"/>
          <w:szCs w:val="22"/>
        </w:rPr>
        <w:t xml:space="preserve"> with some modification</w:t>
      </w:r>
      <w:r>
        <w:rPr>
          <w:rFonts w:eastAsia="Times New Roman"/>
          <w:sz w:val="22"/>
          <w:szCs w:val="22"/>
        </w:rPr>
        <w:t>. Output: output\TFP.csv.</w:t>
      </w:r>
    </w:p>
    <w:p w14:paraId="5AABE865" w14:textId="400391AE" w:rsidR="00333376" w:rsidRDefault="004606AE">
      <w:pPr>
        <w:pStyle w:val="ListParagraph"/>
        <w:numPr>
          <w:ilvl w:val="0"/>
          <w:numId w:val="2"/>
        </w:numPr>
        <w:spacing w:after="120"/>
      </w:pPr>
      <w:r>
        <w:rPr>
          <w:rFonts w:ascii="Consolas" w:eastAsia="Consolas" w:hAnsi="Consolas" w:cs="Consolas"/>
          <w:b/>
          <w:bCs/>
        </w:rPr>
        <w:t>0.PCAoverTFPgrowth.m</w:t>
      </w:r>
      <w:r>
        <w:rPr>
          <w:rFonts w:eastAsia="Times New Roman"/>
          <w:sz w:val="22"/>
          <w:szCs w:val="22"/>
        </w:rPr>
        <w:t xml:space="preserve"> — Extracts the principal components of the firm-level TFP growth. Output: TFP_pca.csv.</w:t>
      </w:r>
    </w:p>
    <w:p w14:paraId="0FFF44C2" w14:textId="77777777" w:rsidR="00333376" w:rsidRDefault="004606AE">
      <w:pPr>
        <w:pStyle w:val="ListParagraph"/>
        <w:numPr>
          <w:ilvl w:val="0"/>
          <w:numId w:val="2"/>
        </w:numPr>
        <w:spacing w:after="120"/>
      </w:pPr>
      <w:r>
        <w:rPr>
          <w:rFonts w:ascii="Consolas" w:eastAsia="Consolas" w:hAnsi="Consolas" w:cs="Consolas"/>
          <w:b/>
          <w:bCs/>
        </w:rPr>
        <w:t>0.DecomposeTFPgrowth.do</w:t>
      </w:r>
      <w:r>
        <w:rPr>
          <w:rFonts w:eastAsia="Times New Roman"/>
          <w:sz w:val="22"/>
          <w:szCs w:val="22"/>
        </w:rPr>
        <w:t xml:space="preserve"> — Decomposes the firm-level TFP growth into the systematic component (pca_hat) and the idiosyncratic component (pca_res). Output: TFP_decomposition.csv.</w:t>
      </w:r>
    </w:p>
    <w:p w14:paraId="4EFD86B1" w14:textId="77777777" w:rsidR="00333376" w:rsidRDefault="004606AE">
      <w:pPr>
        <w:pStyle w:val="ListParagraph"/>
        <w:numPr>
          <w:ilvl w:val="0"/>
          <w:numId w:val="2"/>
        </w:numPr>
        <w:spacing w:after="120"/>
      </w:pPr>
      <w:r>
        <w:rPr>
          <w:rFonts w:ascii="Consolas" w:eastAsia="Consolas" w:hAnsi="Consolas" w:cs="Consolas"/>
          <w:b/>
          <w:bCs/>
        </w:rPr>
        <w:lastRenderedPageBreak/>
        <w:t>0.MakeDispersion.sas</w:t>
      </w:r>
      <w:r>
        <w:rPr>
          <w:rFonts w:eastAsia="Times New Roman"/>
          <w:sz w:val="22"/>
          <w:szCs w:val="22"/>
        </w:rPr>
        <w:t xml:space="preserve"> — Constructs the annual uncertainty measures (the cross-sectional standard deviations of TFP growth and of its components) and the uncertainty shocks. Outputs: Dispersions.csv and the data set dispersion_all.</w:t>
      </w:r>
    </w:p>
    <w:p w14:paraId="6F250153" w14:textId="1CF1468F" w:rsidR="00333376" w:rsidRDefault="004606AE">
      <w:pPr>
        <w:pStyle w:val="ListParagraph"/>
        <w:numPr>
          <w:ilvl w:val="0"/>
          <w:numId w:val="2"/>
        </w:numPr>
        <w:spacing w:after="120"/>
      </w:pPr>
      <w:r>
        <w:rPr>
          <w:rFonts w:ascii="Consolas" w:eastAsia="Consolas" w:hAnsi="Consolas" w:cs="Consolas"/>
          <w:b/>
          <w:bCs/>
        </w:rPr>
        <w:t>0.Qfactorconstruction.sas</w:t>
      </w:r>
      <w:r>
        <w:rPr>
          <w:rFonts w:eastAsia="Times New Roman"/>
          <w:sz w:val="22"/>
          <w:szCs w:val="22"/>
        </w:rPr>
        <w:t xml:space="preserve"> — Constructs the Hou-Xue-Zhang</w:t>
      </w:r>
      <w:r w:rsidR="001668EE">
        <w:rPr>
          <w:rFonts w:eastAsia="Times New Roman"/>
          <w:sz w:val="22"/>
          <w:szCs w:val="22"/>
        </w:rPr>
        <w:t xml:space="preserve"> (HXZ)</w:t>
      </w:r>
      <w:r>
        <w:rPr>
          <w:rFonts w:eastAsia="Times New Roman"/>
          <w:sz w:val="22"/>
          <w:szCs w:val="22"/>
        </w:rPr>
        <w:t xml:space="preserve"> q-factors, their annualized versions, </w:t>
      </w:r>
      <w:r w:rsidR="002F7044">
        <w:rPr>
          <w:rFonts w:eastAsia="Times New Roman"/>
          <w:sz w:val="22"/>
          <w:szCs w:val="22"/>
        </w:rPr>
        <w:t xml:space="preserve">and </w:t>
      </w:r>
      <w:r>
        <w:rPr>
          <w:rFonts w:eastAsia="Times New Roman"/>
          <w:sz w:val="22"/>
          <w:szCs w:val="22"/>
        </w:rPr>
        <w:t>the 18 size</w:t>
      </w:r>
      <w:r w:rsidR="001668EE">
        <w:rPr>
          <w:rFonts w:eastAsia="Times New Roman"/>
          <w:sz w:val="22"/>
          <w:szCs w:val="22"/>
        </w:rPr>
        <w:t>-</w:t>
      </w:r>
      <w:r>
        <w:rPr>
          <w:rFonts w:eastAsia="Times New Roman"/>
          <w:sz w:val="22"/>
          <w:szCs w:val="22"/>
        </w:rPr>
        <w:t>investment</w:t>
      </w:r>
      <w:r w:rsidR="001668EE">
        <w:rPr>
          <w:rFonts w:eastAsia="Times New Roman"/>
          <w:sz w:val="22"/>
          <w:szCs w:val="22"/>
        </w:rPr>
        <w:t>-</w:t>
      </w:r>
      <w:r>
        <w:rPr>
          <w:rFonts w:eastAsia="Times New Roman"/>
          <w:sz w:val="22"/>
          <w:szCs w:val="22"/>
        </w:rPr>
        <w:t xml:space="preserve">profitability </w:t>
      </w:r>
      <w:r w:rsidR="001668EE">
        <w:rPr>
          <w:rFonts w:eastAsia="Times New Roman"/>
          <w:sz w:val="22"/>
          <w:szCs w:val="22"/>
        </w:rPr>
        <w:t xml:space="preserve">sorted </w:t>
      </w:r>
      <w:r>
        <w:rPr>
          <w:rFonts w:eastAsia="Times New Roman"/>
          <w:sz w:val="22"/>
          <w:szCs w:val="22"/>
        </w:rPr>
        <w:t>portfolios.</w:t>
      </w:r>
    </w:p>
    <w:p w14:paraId="79B0C2DD" w14:textId="2DACB23E" w:rsidR="00333376" w:rsidRPr="002C7766" w:rsidRDefault="004606AE">
      <w:pPr>
        <w:pStyle w:val="ListParagraph"/>
        <w:numPr>
          <w:ilvl w:val="0"/>
          <w:numId w:val="2"/>
        </w:numPr>
        <w:spacing w:after="120"/>
      </w:pPr>
      <w:r>
        <w:rPr>
          <w:rFonts w:ascii="Consolas" w:eastAsia="Consolas" w:hAnsi="Consolas" w:cs="Consolas"/>
          <w:b/>
          <w:bCs/>
        </w:rPr>
        <w:t>0.Q5factorconstruction.sas</w:t>
      </w:r>
      <w:r>
        <w:rPr>
          <w:rFonts w:eastAsia="Times New Roman"/>
          <w:sz w:val="22"/>
          <w:szCs w:val="22"/>
        </w:rPr>
        <w:t xml:space="preserve"> — Constructs the expected investment growth (EG) factor of Hou</w:t>
      </w:r>
      <w:r w:rsidR="00035FF1">
        <w:rPr>
          <w:rFonts w:eastAsia="Times New Roman"/>
          <w:sz w:val="22"/>
          <w:szCs w:val="22"/>
        </w:rPr>
        <w:t xml:space="preserve">-Mo-Xue-Zhang (HMXZ) </w:t>
      </w:r>
      <w:r>
        <w:rPr>
          <w:rFonts w:eastAsia="Times New Roman"/>
          <w:sz w:val="22"/>
          <w:szCs w:val="22"/>
        </w:rPr>
        <w:t>and its annualized version, and the firm-level EG data sets. Outputs are saved in output\q5\.</w:t>
      </w:r>
    </w:p>
    <w:p w14:paraId="63912DB3" w14:textId="4598272D" w:rsidR="002C7766" w:rsidRPr="00304DCA" w:rsidRDefault="002C7766" w:rsidP="002C7766">
      <w:pPr>
        <w:pStyle w:val="ListParagraph"/>
        <w:numPr>
          <w:ilvl w:val="0"/>
          <w:numId w:val="2"/>
        </w:numPr>
        <w:spacing w:after="120"/>
      </w:pPr>
      <w:r>
        <w:rPr>
          <w:rFonts w:ascii="Consolas" w:eastAsia="Consolas" w:hAnsi="Consolas" w:cs="Consolas"/>
          <w:b/>
          <w:bCs/>
        </w:rPr>
        <w:t>0.Constructannualtestassets45.sas</w:t>
      </w:r>
      <w:r>
        <w:rPr>
          <w:rFonts w:eastAsia="Times New Roman"/>
          <w:sz w:val="22"/>
          <w:szCs w:val="22"/>
        </w:rPr>
        <w:t xml:space="preserve"> — Annualize 45 monthly test portfolios. Outputs are saved in Table2.</w:t>
      </w:r>
    </w:p>
    <w:p w14:paraId="6E42C03E" w14:textId="2F06884A" w:rsidR="00304DCA" w:rsidRDefault="00304DCA" w:rsidP="00304DCA">
      <w:pPr>
        <w:pStyle w:val="ListParagraph"/>
        <w:numPr>
          <w:ilvl w:val="0"/>
          <w:numId w:val="2"/>
        </w:numPr>
        <w:spacing w:after="120"/>
      </w:pPr>
      <w:r>
        <w:rPr>
          <w:rFonts w:ascii="Consolas" w:eastAsia="Consolas" w:hAnsi="Consolas" w:cs="Consolas"/>
          <w:b/>
          <w:bCs/>
        </w:rPr>
        <w:t>0.Constructannualtestassets198.sas</w:t>
      </w:r>
      <w:r>
        <w:rPr>
          <w:rFonts w:eastAsia="Times New Roman"/>
          <w:sz w:val="22"/>
          <w:szCs w:val="22"/>
        </w:rPr>
        <w:t xml:space="preserve"> — Annualize 198 monthly test portfolios. Outputs are saved in Table5.</w:t>
      </w:r>
    </w:p>
    <w:p w14:paraId="0D307FEA" w14:textId="5DBC64C5" w:rsidR="00333376" w:rsidRDefault="004606AE">
      <w:pPr>
        <w:pStyle w:val="ListParagraph"/>
        <w:numPr>
          <w:ilvl w:val="0"/>
          <w:numId w:val="2"/>
        </w:numPr>
        <w:spacing w:after="120"/>
      </w:pPr>
      <w:r>
        <w:rPr>
          <w:rFonts w:ascii="Consolas" w:eastAsia="Consolas" w:hAnsi="Consolas" w:cs="Consolas"/>
          <w:b/>
          <w:bCs/>
        </w:rPr>
        <w:t>0.JLNunc.sas</w:t>
      </w:r>
      <w:r>
        <w:rPr>
          <w:rFonts w:eastAsia="Times New Roman"/>
          <w:sz w:val="22"/>
          <w:szCs w:val="22"/>
        </w:rPr>
        <w:t xml:space="preserve"> — Annualizes the Jurado-Ludvigson-Ng macro uncertainty series (UNC^JLN).</w:t>
      </w:r>
    </w:p>
    <w:p w14:paraId="18A7EF94" w14:textId="77777777" w:rsidR="00333376" w:rsidRDefault="004606AE">
      <w:pPr>
        <w:pStyle w:val="ListParagraph"/>
        <w:numPr>
          <w:ilvl w:val="0"/>
          <w:numId w:val="2"/>
        </w:numPr>
        <w:spacing w:after="120"/>
      </w:pPr>
      <w:r>
        <w:rPr>
          <w:rFonts w:ascii="Consolas" w:eastAsia="Consolas" w:hAnsi="Consolas" w:cs="Consolas"/>
          <w:b/>
          <w:bCs/>
        </w:rPr>
        <w:t>0.Mispricingfactor.sas</w:t>
      </w:r>
      <w:r>
        <w:rPr>
          <w:rFonts w:eastAsia="Times New Roman"/>
          <w:sz w:val="22"/>
          <w:szCs w:val="22"/>
        </w:rPr>
        <w:t xml:space="preserve"> — Constructs the Stambaugh-Yuan mispricing factor (MISP) at the monthly and the annual frequencies. Outputs are saved in output\misp\.</w:t>
      </w:r>
    </w:p>
    <w:p w14:paraId="7D9EC3C0" w14:textId="77777777" w:rsidR="00333376" w:rsidRDefault="004606AE">
      <w:pPr>
        <w:pStyle w:val="Heading1"/>
        <w:spacing w:before="280" w:after="140"/>
      </w:pPr>
      <w:r>
        <w:rPr>
          <w:rFonts w:eastAsia="Times New Roman"/>
          <w:b/>
          <w:bCs/>
          <w:color w:val="000000"/>
          <w:sz w:val="28"/>
          <w:szCs w:val="28"/>
        </w:rPr>
        <w:t>4. data</w:t>
      </w:r>
    </w:p>
    <w:p w14:paraId="4EC8856D" w14:textId="77777777" w:rsidR="00333376" w:rsidRDefault="004606AE">
      <w:pPr>
        <w:spacing w:after="120"/>
      </w:pPr>
      <w:r>
        <w:rPr>
          <w:rFonts w:eastAsia="Times New Roman"/>
          <w:sz w:val="22"/>
          <w:szCs w:val="22"/>
        </w:rPr>
        <w:t>The data folder holds the external input files and the WRDS extracts used by the preparation programs:</w:t>
      </w:r>
    </w:p>
    <w:p w14:paraId="7DB376FE" w14:textId="01F3B5E8" w:rsidR="00333376" w:rsidRPr="00BD0848" w:rsidRDefault="004606AE">
      <w:pPr>
        <w:pStyle w:val="ListParagraph"/>
        <w:numPr>
          <w:ilvl w:val="0"/>
          <w:numId w:val="2"/>
        </w:numPr>
        <w:spacing w:after="120"/>
      </w:pPr>
      <w:r>
        <w:rPr>
          <w:rFonts w:eastAsia="Times New Roman"/>
          <w:sz w:val="22"/>
          <w:szCs w:val="22"/>
        </w:rPr>
        <w:t xml:space="preserve">FF5.csv, 6sizebm.xlsx, 6sizeinv.xlsx, 6sizeop.xlsx, 6sizemom.xlsx, </w:t>
      </w:r>
      <w:r w:rsidR="006727D4">
        <w:rPr>
          <w:rFonts w:eastAsia="Times New Roman"/>
          <w:sz w:val="22"/>
          <w:szCs w:val="22"/>
        </w:rPr>
        <w:t>5ind</w:t>
      </w:r>
      <w:r w:rsidR="00BD0848">
        <w:rPr>
          <w:rFonts w:eastAsia="Times New Roman"/>
          <w:sz w:val="22"/>
          <w:szCs w:val="22"/>
        </w:rPr>
        <w:t xml:space="preserve">.xlsx, </w:t>
      </w:r>
      <w:r>
        <w:rPr>
          <w:rFonts w:eastAsia="Times New Roman"/>
          <w:sz w:val="22"/>
          <w:szCs w:val="22"/>
        </w:rPr>
        <w:t>nysebp.csv — the factor returns, the 2×3 size</w:t>
      </w:r>
      <w:r w:rsidR="00BD0848">
        <w:rPr>
          <w:rFonts w:eastAsia="Times New Roman"/>
          <w:sz w:val="22"/>
          <w:szCs w:val="22"/>
        </w:rPr>
        <w:t xml:space="preserve"> and book-to-market, size and investment, size and operating profitability, size and momentum, Fama-French 5 industry sorted</w:t>
      </w:r>
      <w:r>
        <w:rPr>
          <w:rFonts w:eastAsia="Times New Roman"/>
          <w:sz w:val="22"/>
          <w:szCs w:val="22"/>
        </w:rPr>
        <w:t xml:space="preserve"> portfolios, and the breakpoints from the Kenneth French data library.</w:t>
      </w:r>
    </w:p>
    <w:p w14:paraId="5D61EB70" w14:textId="68732F2C" w:rsidR="00BD0848" w:rsidRPr="00BD0848" w:rsidRDefault="00BD0848">
      <w:pPr>
        <w:pStyle w:val="ListParagraph"/>
        <w:numPr>
          <w:ilvl w:val="0"/>
          <w:numId w:val="2"/>
        </w:numPr>
        <w:spacing w:after="120"/>
        <w:rPr>
          <w:sz w:val="22"/>
          <w:szCs w:val="22"/>
        </w:rPr>
      </w:pPr>
      <w:r w:rsidRPr="00BD0848">
        <w:rPr>
          <w:sz w:val="22"/>
          <w:szCs w:val="22"/>
        </w:rPr>
        <w:t>portf_oa_monthly_2019a</w:t>
      </w:r>
      <w:r>
        <w:rPr>
          <w:sz w:val="22"/>
          <w:szCs w:val="22"/>
        </w:rPr>
        <w:t xml:space="preserve"> is 10 operating accrual sorted portfolios from Lu Zhang’s q-library.</w:t>
      </w:r>
    </w:p>
    <w:p w14:paraId="68E8EAA7" w14:textId="77777777" w:rsidR="00333376" w:rsidRDefault="004606AE">
      <w:pPr>
        <w:pStyle w:val="ListParagraph"/>
        <w:numPr>
          <w:ilvl w:val="0"/>
          <w:numId w:val="2"/>
        </w:numPr>
        <w:spacing w:after="120"/>
      </w:pPr>
      <w:r>
        <w:rPr>
          <w:rFonts w:eastAsia="Times New Roman"/>
          <w:sz w:val="22"/>
          <w:szCs w:val="22"/>
        </w:rPr>
        <w:t>MacroUncertaintyToCirculate.csv, RealUncertaintyToCirculate.csv, FinancialUncertaintyToCirculate.csv — the Jurado-Ludvigson-Ng uncertainty series from Sydney Ludvigson’s website.</w:t>
      </w:r>
    </w:p>
    <w:p w14:paraId="4A7EF696" w14:textId="09E4C721" w:rsidR="00333376" w:rsidRDefault="004606AE">
      <w:pPr>
        <w:pStyle w:val="ListParagraph"/>
        <w:numPr>
          <w:ilvl w:val="0"/>
          <w:numId w:val="2"/>
        </w:numPr>
        <w:spacing w:after="120"/>
      </w:pPr>
      <w:r>
        <w:rPr>
          <w:rFonts w:eastAsia="Times New Roman"/>
          <w:sz w:val="22"/>
          <w:szCs w:val="22"/>
        </w:rPr>
        <w:t>Liquidity_factor.csv</w:t>
      </w:r>
      <w:r w:rsidR="00035FF1">
        <w:rPr>
          <w:rFonts w:eastAsia="Times New Roman"/>
          <w:sz w:val="22"/>
          <w:szCs w:val="22"/>
        </w:rPr>
        <w:t>,</w:t>
      </w:r>
      <w:r>
        <w:rPr>
          <w:rFonts w:eastAsia="Times New Roman"/>
          <w:sz w:val="22"/>
          <w:szCs w:val="22"/>
        </w:rPr>
        <w:t xml:space="preserve"> Misp_Score.csv</w:t>
      </w:r>
      <w:r w:rsidR="00035FF1">
        <w:rPr>
          <w:rFonts w:eastAsia="Times New Roman"/>
          <w:sz w:val="22"/>
          <w:szCs w:val="22"/>
        </w:rPr>
        <w:t>, and m4</w:t>
      </w:r>
      <w:r w:rsidR="00035FF1" w:rsidRPr="00035FF1">
        <w:rPr>
          <w:rFonts w:eastAsia="Malgun Gothic"/>
          <w:sz w:val="22"/>
          <w:szCs w:val="22"/>
          <w:lang w:eastAsia="ko-KR"/>
        </w:rPr>
        <w:t>.sas7bdat</w:t>
      </w:r>
      <w:r>
        <w:rPr>
          <w:rFonts w:eastAsia="Times New Roman"/>
          <w:sz w:val="22"/>
          <w:szCs w:val="22"/>
        </w:rPr>
        <w:t xml:space="preserve"> — the liquidity factor</w:t>
      </w:r>
      <w:r w:rsidR="00035FF1">
        <w:rPr>
          <w:rFonts w:eastAsia="Times New Roman"/>
          <w:sz w:val="22"/>
          <w:szCs w:val="22"/>
        </w:rPr>
        <w:t xml:space="preserve">, </w:t>
      </w:r>
      <w:r>
        <w:rPr>
          <w:rFonts w:eastAsia="Times New Roman"/>
          <w:sz w:val="22"/>
          <w:szCs w:val="22"/>
        </w:rPr>
        <w:t>the mispricing scores</w:t>
      </w:r>
      <w:r w:rsidR="00035FF1">
        <w:rPr>
          <w:rFonts w:eastAsia="Times New Roman"/>
          <w:sz w:val="22"/>
          <w:szCs w:val="22"/>
        </w:rPr>
        <w:t>, and the mispricing factors</w:t>
      </w:r>
      <w:r>
        <w:rPr>
          <w:rFonts w:eastAsia="Times New Roman"/>
          <w:sz w:val="22"/>
          <w:szCs w:val="22"/>
        </w:rPr>
        <w:t xml:space="preserve"> from Robert Stambaugh’s website.</w:t>
      </w:r>
    </w:p>
    <w:p w14:paraId="03C6C43E" w14:textId="644E44BA" w:rsidR="00333376" w:rsidRDefault="004606AE">
      <w:pPr>
        <w:pStyle w:val="ListParagraph"/>
        <w:numPr>
          <w:ilvl w:val="0"/>
          <w:numId w:val="2"/>
        </w:numPr>
        <w:spacing w:after="120"/>
      </w:pPr>
      <w:r>
        <w:rPr>
          <w:rFonts w:eastAsia="Times New Roman"/>
          <w:sz w:val="22"/>
          <w:szCs w:val="22"/>
        </w:rPr>
        <w:t>Prices_updated_annual.dta — the price deflators used in the TFP estimation (NIPA</w:t>
      </w:r>
      <w:r w:rsidR="00096355">
        <w:rPr>
          <w:rFonts w:eastAsia="Times New Roman"/>
          <w:sz w:val="22"/>
          <w:szCs w:val="22"/>
        </w:rPr>
        <w:t>, or BLS</w:t>
      </w:r>
      <w:r>
        <w:rPr>
          <w:rFonts w:eastAsia="Times New Roman"/>
          <w:sz w:val="22"/>
          <w:szCs w:val="22"/>
        </w:rPr>
        <w:t>).</w:t>
      </w:r>
    </w:p>
    <w:p w14:paraId="7B6339A3" w14:textId="5E5D0D43" w:rsidR="00333376" w:rsidRPr="00035FF1" w:rsidRDefault="004606AE">
      <w:pPr>
        <w:pStyle w:val="ListParagraph"/>
        <w:numPr>
          <w:ilvl w:val="0"/>
          <w:numId w:val="2"/>
        </w:numPr>
        <w:spacing w:after="120"/>
      </w:pPr>
      <w:r>
        <w:rPr>
          <w:rFonts w:eastAsia="Times New Roman"/>
          <w:sz w:val="22"/>
          <w:szCs w:val="22"/>
        </w:rPr>
        <w:t>INDPRO.xls — the industrial production index (FRED).</w:t>
      </w:r>
    </w:p>
    <w:p w14:paraId="32D2AB57" w14:textId="19DD6726" w:rsidR="00035FF1" w:rsidRPr="00035FF1" w:rsidRDefault="00550D9F">
      <w:pPr>
        <w:pStyle w:val="ListParagraph"/>
        <w:numPr>
          <w:ilvl w:val="0"/>
          <w:numId w:val="2"/>
        </w:numPr>
        <w:spacing w:after="120"/>
      </w:pPr>
      <w:r>
        <w:rPr>
          <w:rFonts w:eastAsia="Malgun Gothic"/>
          <w:sz w:val="22"/>
          <w:szCs w:val="22"/>
          <w:lang w:eastAsia="ko-KR"/>
        </w:rPr>
        <w:t>a</w:t>
      </w:r>
      <w:r w:rsidR="00035FF1">
        <w:rPr>
          <w:rFonts w:eastAsia="Malgun Gothic"/>
          <w:sz w:val="22"/>
          <w:szCs w:val="22"/>
          <w:lang w:eastAsia="ko-KR"/>
        </w:rPr>
        <w:t>nnu</w:t>
      </w:r>
      <w:r w:rsidR="006727D4">
        <w:rPr>
          <w:rFonts w:eastAsia="Malgun Gothic"/>
          <w:sz w:val="22"/>
          <w:szCs w:val="22"/>
          <w:lang w:eastAsia="ko-KR"/>
        </w:rPr>
        <w:t>a</w:t>
      </w:r>
      <w:r w:rsidR="00035FF1">
        <w:rPr>
          <w:rFonts w:eastAsia="Malgun Gothic"/>
          <w:sz w:val="22"/>
          <w:szCs w:val="22"/>
          <w:lang w:eastAsia="ko-KR"/>
        </w:rPr>
        <w:t>lfactors</w:t>
      </w:r>
      <w:r w:rsidR="00035FF1" w:rsidRPr="00035FF1">
        <w:rPr>
          <w:rFonts w:eastAsia="Malgun Gothic"/>
          <w:sz w:val="22"/>
          <w:szCs w:val="22"/>
          <w:lang w:eastAsia="ko-KR"/>
        </w:rPr>
        <w:t>.sas7bdat</w:t>
      </w:r>
      <w:r w:rsidR="00035FF1">
        <w:rPr>
          <w:rFonts w:eastAsia="Times New Roman"/>
          <w:sz w:val="22"/>
          <w:szCs w:val="22"/>
        </w:rPr>
        <w:t xml:space="preserve"> — Merged annual pricing factors and uncertainty shocks, generated by 1.MakeAnnualfactors.sas.</w:t>
      </w:r>
    </w:p>
    <w:p w14:paraId="531924A7" w14:textId="5493E160" w:rsidR="00035FF1" w:rsidRPr="00035FF1" w:rsidRDefault="00035FF1">
      <w:pPr>
        <w:pStyle w:val="ListParagraph"/>
        <w:numPr>
          <w:ilvl w:val="0"/>
          <w:numId w:val="2"/>
        </w:numPr>
        <w:spacing w:after="120"/>
      </w:pPr>
      <w:r>
        <w:rPr>
          <w:rFonts w:eastAsia="Malgun Gothic"/>
          <w:sz w:val="22"/>
          <w:szCs w:val="22"/>
          <w:lang w:eastAsia="ko-KR"/>
        </w:rPr>
        <w:t>Qfactors, and q5_factors_monthly_2020</w:t>
      </w:r>
      <w:r>
        <w:rPr>
          <w:rFonts w:eastAsia="Times New Roman"/>
          <w:sz w:val="22"/>
          <w:szCs w:val="22"/>
        </w:rPr>
        <w:t xml:space="preserve"> — HXZ q factors to be used to Jurado-Ludvigson-Ng macro uncertainty pricing factor.</w:t>
      </w:r>
    </w:p>
    <w:p w14:paraId="28A72E7B" w14:textId="77777777" w:rsidR="00333376" w:rsidRDefault="004606AE">
      <w:pPr>
        <w:pStyle w:val="ListParagraph"/>
        <w:numPr>
          <w:ilvl w:val="0"/>
          <w:numId w:val="2"/>
        </w:numPr>
        <w:spacing w:after="120"/>
      </w:pPr>
      <w:r>
        <w:rPr>
          <w:rFonts w:eastAsia="Times New Roman"/>
          <w:sz w:val="22"/>
          <w:szCs w:val="22"/>
        </w:rPr>
        <w:t>The WRDS extracts created by 0.DataDownload.sas (CRSP and Compustat data sets) are also saved here.</w:t>
      </w:r>
    </w:p>
    <w:p w14:paraId="30AEFFB9" w14:textId="77777777" w:rsidR="00333376" w:rsidRDefault="004606AE">
      <w:pPr>
        <w:pStyle w:val="Heading1"/>
        <w:spacing w:before="280" w:after="140"/>
      </w:pPr>
      <w:r>
        <w:rPr>
          <w:rFonts w:eastAsia="Times New Roman"/>
          <w:b/>
          <w:bCs/>
          <w:color w:val="000000"/>
          <w:sz w:val="28"/>
          <w:szCs w:val="28"/>
        </w:rPr>
        <w:t>5. output</w:t>
      </w:r>
    </w:p>
    <w:p w14:paraId="44952A48" w14:textId="77777777" w:rsidR="00333376" w:rsidRDefault="004606AE">
      <w:pPr>
        <w:spacing w:after="120"/>
      </w:pPr>
      <w:r>
        <w:rPr>
          <w:rFonts w:eastAsia="Times New Roman"/>
          <w:sz w:val="22"/>
          <w:szCs w:val="22"/>
        </w:rPr>
        <w:t>The output folder holds the outputs of the preparation programs and the annually re-estimated mimicking factor files, so that the table programs can be run without the subscription data:</w:t>
      </w:r>
    </w:p>
    <w:p w14:paraId="4E6B9DFA" w14:textId="381549B4" w:rsidR="00787022" w:rsidRPr="00787022" w:rsidRDefault="00787022">
      <w:pPr>
        <w:pStyle w:val="ListParagraph"/>
        <w:numPr>
          <w:ilvl w:val="0"/>
          <w:numId w:val="2"/>
        </w:numPr>
        <w:spacing w:after="120"/>
        <w:rPr>
          <w:sz w:val="22"/>
          <w:szCs w:val="22"/>
        </w:rPr>
      </w:pPr>
      <w:r w:rsidRPr="00787022">
        <w:rPr>
          <w:rFonts w:eastAsia="Malgun Gothic"/>
          <w:sz w:val="22"/>
          <w:szCs w:val="22"/>
          <w:lang w:eastAsia="ko-KR"/>
        </w:rPr>
        <w:lastRenderedPageBreak/>
        <w:t>All_factor_m_pca, all_factor_m_pca2.sas7bdat</w:t>
      </w:r>
      <w:r>
        <w:rPr>
          <w:rFonts w:eastAsia="Times New Roman"/>
          <w:sz w:val="22"/>
          <w:szCs w:val="22"/>
        </w:rPr>
        <w:t xml:space="preserve"> — the mimicking uncertainty portfolios by using the projection method.</w:t>
      </w:r>
    </w:p>
    <w:p w14:paraId="23B95FF3" w14:textId="69155570" w:rsidR="00787022" w:rsidRPr="00787022" w:rsidRDefault="00787022">
      <w:pPr>
        <w:pStyle w:val="ListParagraph"/>
        <w:numPr>
          <w:ilvl w:val="0"/>
          <w:numId w:val="2"/>
        </w:numPr>
        <w:spacing w:after="120"/>
        <w:rPr>
          <w:sz w:val="22"/>
          <w:szCs w:val="22"/>
        </w:rPr>
      </w:pPr>
      <w:r>
        <w:rPr>
          <w:rFonts w:eastAsia="Malgun Gothic"/>
          <w:sz w:val="22"/>
          <w:szCs w:val="22"/>
          <w:lang w:eastAsia="ko-KR"/>
        </w:rPr>
        <w:t>Dispersions, Dispersion_all</w:t>
      </w:r>
      <w:r w:rsidRPr="00787022">
        <w:rPr>
          <w:rFonts w:eastAsia="Malgun Gothic"/>
          <w:sz w:val="22"/>
          <w:szCs w:val="22"/>
          <w:lang w:eastAsia="ko-KR"/>
        </w:rPr>
        <w:t>.sas7bdat</w:t>
      </w:r>
      <w:r>
        <w:rPr>
          <w:rFonts w:eastAsia="Times New Roman"/>
          <w:sz w:val="22"/>
          <w:szCs w:val="22"/>
        </w:rPr>
        <w:t xml:space="preserve"> — Uncertainty estimates.</w:t>
      </w:r>
    </w:p>
    <w:p w14:paraId="727BA983" w14:textId="5DCAD8E5" w:rsidR="00787022" w:rsidRPr="00787022" w:rsidRDefault="006727D4">
      <w:pPr>
        <w:pStyle w:val="ListParagraph"/>
        <w:numPr>
          <w:ilvl w:val="0"/>
          <w:numId w:val="2"/>
        </w:numPr>
        <w:spacing w:after="120"/>
        <w:rPr>
          <w:sz w:val="22"/>
          <w:szCs w:val="22"/>
        </w:rPr>
      </w:pPr>
      <w:r>
        <w:rPr>
          <w:rFonts w:eastAsia="Malgun Gothic"/>
          <w:sz w:val="22"/>
          <w:szCs w:val="22"/>
          <w:lang w:eastAsia="ko-KR"/>
        </w:rPr>
        <w:t>e</w:t>
      </w:r>
      <w:r w:rsidR="00787022">
        <w:rPr>
          <w:rFonts w:eastAsia="Malgun Gothic"/>
          <w:sz w:val="22"/>
          <w:szCs w:val="22"/>
          <w:lang w:eastAsia="ko-KR"/>
        </w:rPr>
        <w:t>ia_input1</w:t>
      </w:r>
      <w:r w:rsidR="00787022" w:rsidRPr="00787022">
        <w:rPr>
          <w:rFonts w:eastAsia="Malgun Gothic"/>
          <w:sz w:val="22"/>
          <w:szCs w:val="22"/>
          <w:lang w:eastAsia="ko-KR"/>
        </w:rPr>
        <w:t>.sas7bdat</w:t>
      </w:r>
      <w:r w:rsidR="00787022">
        <w:rPr>
          <w:rFonts w:eastAsia="Times New Roman"/>
          <w:sz w:val="22"/>
          <w:szCs w:val="22"/>
        </w:rPr>
        <w:t xml:space="preserve"> — Standard deviations of EG predictors and uncertainty estimates.</w:t>
      </w:r>
    </w:p>
    <w:p w14:paraId="2983F056" w14:textId="0CFFDA6F" w:rsidR="00333376" w:rsidRDefault="004606AE">
      <w:pPr>
        <w:pStyle w:val="ListParagraph"/>
        <w:numPr>
          <w:ilvl w:val="0"/>
          <w:numId w:val="2"/>
        </w:numPr>
        <w:spacing w:after="120"/>
      </w:pPr>
      <w:r>
        <w:rPr>
          <w:rFonts w:eastAsia="Times New Roman"/>
          <w:sz w:val="22"/>
          <w:szCs w:val="22"/>
        </w:rPr>
        <w:t>TFP.csv, TFP_pca.csv, TFP_decomposition.csv, Dispersions.csv — the firm-level TFP estimates, their decomposition, and the uncertainty measures (from the Preparation programs).</w:t>
      </w:r>
    </w:p>
    <w:p w14:paraId="45A7E776" w14:textId="0A23BB50" w:rsidR="00333376" w:rsidRPr="00787022" w:rsidRDefault="004606AE">
      <w:pPr>
        <w:pStyle w:val="ListParagraph"/>
        <w:numPr>
          <w:ilvl w:val="0"/>
          <w:numId w:val="2"/>
        </w:numPr>
        <w:spacing w:after="120"/>
      </w:pPr>
      <w:r>
        <w:rPr>
          <w:rFonts w:eastAsia="Times New Roman"/>
          <w:sz w:val="22"/>
          <w:szCs w:val="22"/>
        </w:rPr>
        <w:t xml:space="preserve">FMR1996 .csv to FMR2016 .csv — the mimicking factors for the extending-window Fama-MacBeth regressions. They are produced by </w:t>
      </w:r>
      <w:r w:rsidR="008725A6">
        <w:rPr>
          <w:rFonts w:eastAsia="Times New Roman"/>
          <w:sz w:val="22"/>
          <w:szCs w:val="22"/>
        </w:rPr>
        <w:t>T</w:t>
      </w:r>
      <w:r>
        <w:rPr>
          <w:rFonts w:eastAsia="Times New Roman"/>
          <w:sz w:val="22"/>
          <w:szCs w:val="22"/>
        </w:rPr>
        <w:t>able4\Extendingwindow\4.MakeMimickingfactors_extending.sas.</w:t>
      </w:r>
    </w:p>
    <w:p w14:paraId="17D59BDF" w14:textId="18900C9F" w:rsidR="00787022" w:rsidRPr="00787022" w:rsidRDefault="00787022">
      <w:pPr>
        <w:pStyle w:val="ListParagraph"/>
        <w:numPr>
          <w:ilvl w:val="0"/>
          <w:numId w:val="2"/>
        </w:numPr>
        <w:spacing w:after="120"/>
      </w:pPr>
      <w:r>
        <w:rPr>
          <w:rFonts w:eastAsia="Malgun Gothic"/>
          <w:sz w:val="22"/>
          <w:szCs w:val="22"/>
          <w:lang w:eastAsia="ko-KR"/>
        </w:rPr>
        <w:t>Portret102y2.dta</w:t>
      </w:r>
      <w:r>
        <w:rPr>
          <w:rFonts w:eastAsia="Times New Roman"/>
          <w:sz w:val="22"/>
          <w:szCs w:val="22"/>
        </w:rPr>
        <w:t xml:space="preserve"> — Annualized JLN uncertainty factor. It is produced by 0.JLNunc.sas</w:t>
      </w:r>
    </w:p>
    <w:p w14:paraId="21ADB6E5" w14:textId="21AA4F09" w:rsidR="00787022" w:rsidRDefault="00787022">
      <w:pPr>
        <w:pStyle w:val="ListParagraph"/>
        <w:numPr>
          <w:ilvl w:val="0"/>
          <w:numId w:val="2"/>
        </w:numPr>
        <w:spacing w:after="120"/>
      </w:pPr>
      <w:r>
        <w:rPr>
          <w:rFonts w:eastAsia="Malgun Gothic"/>
          <w:sz w:val="22"/>
          <w:szCs w:val="22"/>
          <w:lang w:eastAsia="ko-KR"/>
        </w:rPr>
        <w:t>Q_factor, q_factory</w:t>
      </w:r>
      <w:r w:rsidRPr="00787022">
        <w:rPr>
          <w:rFonts w:eastAsia="Malgun Gothic"/>
          <w:sz w:val="22"/>
          <w:szCs w:val="22"/>
          <w:lang w:eastAsia="ko-KR"/>
        </w:rPr>
        <w:t>.sas7bdat</w:t>
      </w:r>
      <w:r>
        <w:rPr>
          <w:rFonts w:eastAsia="Times New Roman"/>
          <w:sz w:val="22"/>
          <w:szCs w:val="22"/>
        </w:rPr>
        <w:t xml:space="preserve"> — monthly and annual HXZ pricing factors. They are produced by 0.Qfactorconstruction.sas.</w:t>
      </w:r>
    </w:p>
    <w:p w14:paraId="55677A00" w14:textId="4D2782D0" w:rsidR="00333376" w:rsidRDefault="004606AE">
      <w:pPr>
        <w:pStyle w:val="ListParagraph"/>
        <w:numPr>
          <w:ilvl w:val="0"/>
          <w:numId w:val="2"/>
        </w:numPr>
        <w:spacing w:after="120"/>
      </w:pPr>
      <w:r>
        <w:rPr>
          <w:rFonts w:eastAsia="Times New Roman"/>
          <w:sz w:val="22"/>
          <w:szCs w:val="22"/>
        </w:rPr>
        <w:t xml:space="preserve">q5\ — </w:t>
      </w:r>
      <w:r w:rsidR="00787022">
        <w:rPr>
          <w:rFonts w:eastAsia="Times New Roman"/>
          <w:sz w:val="22"/>
          <w:szCs w:val="22"/>
        </w:rPr>
        <w:t>includes eia_factor, eia_factory</w:t>
      </w:r>
      <w:r w:rsidR="00787022" w:rsidRPr="00787022">
        <w:rPr>
          <w:rFonts w:eastAsia="Malgun Gothic"/>
          <w:sz w:val="22"/>
          <w:szCs w:val="22"/>
          <w:lang w:eastAsia="ko-KR"/>
        </w:rPr>
        <w:t>.sas7bdat</w:t>
      </w:r>
      <w:r>
        <w:rPr>
          <w:rFonts w:eastAsia="Times New Roman"/>
          <w:sz w:val="22"/>
          <w:szCs w:val="22"/>
        </w:rPr>
        <w:t>.</w:t>
      </w:r>
      <w:r w:rsidR="00787022">
        <w:rPr>
          <w:rFonts w:eastAsia="Times New Roman"/>
          <w:sz w:val="22"/>
          <w:szCs w:val="22"/>
        </w:rPr>
        <w:t xml:space="preserve"> Monthly and annual EG factor. They are produced by </w:t>
      </w:r>
      <w:r w:rsidR="00550D9F">
        <w:rPr>
          <w:rFonts w:eastAsia="Times New Roman"/>
          <w:sz w:val="22"/>
          <w:szCs w:val="22"/>
        </w:rPr>
        <w:t>0.</w:t>
      </w:r>
      <w:r>
        <w:rPr>
          <w:rFonts w:eastAsia="Times New Roman"/>
          <w:sz w:val="22"/>
          <w:szCs w:val="22"/>
        </w:rPr>
        <w:t>Q5factorconstruction.sas.</w:t>
      </w:r>
    </w:p>
    <w:p w14:paraId="7DC02D8F" w14:textId="74509343" w:rsidR="00333376" w:rsidRDefault="004606AE">
      <w:pPr>
        <w:pStyle w:val="ListParagraph"/>
        <w:numPr>
          <w:ilvl w:val="0"/>
          <w:numId w:val="2"/>
        </w:numPr>
        <w:spacing w:after="120"/>
      </w:pPr>
      <w:r>
        <w:rPr>
          <w:rFonts w:eastAsia="Times New Roman"/>
          <w:sz w:val="22"/>
          <w:szCs w:val="22"/>
        </w:rPr>
        <w:t xml:space="preserve">misp\ — </w:t>
      </w:r>
      <w:r w:rsidR="00787022">
        <w:rPr>
          <w:rFonts w:eastAsia="Times New Roman"/>
          <w:sz w:val="22"/>
          <w:szCs w:val="22"/>
        </w:rPr>
        <w:t xml:space="preserve">includes misp_factory. Annual mispricing factor. It is produced by </w:t>
      </w:r>
      <w:r>
        <w:rPr>
          <w:rFonts w:eastAsia="Times New Roman"/>
          <w:sz w:val="22"/>
          <w:szCs w:val="22"/>
        </w:rPr>
        <w:t>0.Mispricingfactor.sas.</w:t>
      </w:r>
    </w:p>
    <w:p w14:paraId="50A0C5CD" w14:textId="246F6D85" w:rsidR="00333376" w:rsidRDefault="004606AE">
      <w:pPr>
        <w:pStyle w:val="ListParagraph"/>
        <w:numPr>
          <w:ilvl w:val="0"/>
          <w:numId w:val="2"/>
        </w:numPr>
        <w:spacing w:after="120"/>
      </w:pPr>
      <w:r>
        <w:rPr>
          <w:rFonts w:eastAsia="Times New Roman"/>
          <w:sz w:val="22"/>
          <w:szCs w:val="22"/>
        </w:rPr>
        <w:t>jln\ — the outputs of 0.JLNunc.sas.</w:t>
      </w:r>
    </w:p>
    <w:p w14:paraId="6F412355" w14:textId="77777777" w:rsidR="00333376" w:rsidRDefault="004606AE">
      <w:pPr>
        <w:pStyle w:val="Heading1"/>
        <w:spacing w:before="280" w:after="140"/>
      </w:pPr>
      <w:r>
        <w:rPr>
          <w:rFonts w:eastAsia="Times New Roman"/>
          <w:b/>
          <w:bCs/>
          <w:color w:val="000000"/>
          <w:sz w:val="28"/>
          <w:szCs w:val="28"/>
        </w:rPr>
        <w:t>6. Figure1</w:t>
      </w:r>
    </w:p>
    <w:p w14:paraId="30F55D9B" w14:textId="0689CDCD" w:rsidR="00333376" w:rsidRDefault="004606AE">
      <w:pPr>
        <w:spacing w:after="120"/>
      </w:pPr>
      <w:r>
        <w:rPr>
          <w:rFonts w:ascii="Consolas" w:eastAsia="Consolas" w:hAnsi="Consolas" w:cs="Consolas"/>
          <w:b/>
          <w:bCs/>
        </w:rPr>
        <w:t>IP_UNC.m</w:t>
      </w:r>
      <w:r>
        <w:rPr>
          <w:rFonts w:eastAsia="Times New Roman"/>
          <w:sz w:val="22"/>
          <w:szCs w:val="22"/>
        </w:rPr>
        <w:t xml:space="preserve"> plots the </w:t>
      </w:r>
      <w:r w:rsidR="00BD1B19">
        <w:rPr>
          <w:rFonts w:eastAsia="Times New Roman"/>
          <w:sz w:val="22"/>
          <w:szCs w:val="22"/>
        </w:rPr>
        <w:t xml:space="preserve">standardized </w:t>
      </w:r>
      <w:r>
        <w:rPr>
          <w:rFonts w:eastAsia="Times New Roman"/>
          <w:sz w:val="22"/>
          <w:szCs w:val="22"/>
        </w:rPr>
        <w:t xml:space="preserve">industrial production </w:t>
      </w:r>
      <w:r w:rsidR="00236D20">
        <w:rPr>
          <w:rFonts w:eastAsia="Times New Roman"/>
          <w:sz w:val="22"/>
          <w:szCs w:val="22"/>
        </w:rPr>
        <w:t xml:space="preserve">(IP) </w:t>
      </w:r>
      <w:r>
        <w:rPr>
          <w:rFonts w:eastAsia="Times New Roman"/>
          <w:sz w:val="22"/>
          <w:szCs w:val="22"/>
        </w:rPr>
        <w:t>growth together with the uncertainty series (Figure 1) from ip_z.csv, and saves the figure as IP.eps.</w:t>
      </w:r>
      <w:r w:rsidR="00236D20">
        <w:rPr>
          <w:rFonts w:eastAsia="Times New Roman"/>
          <w:sz w:val="22"/>
          <w:szCs w:val="22"/>
        </w:rPr>
        <w:t xml:space="preserve"> IP growth and uncertainty series are produced by 1.Timeseriescorrelation.do in Table 1 folder.</w:t>
      </w:r>
    </w:p>
    <w:p w14:paraId="5014C22C" w14:textId="77777777" w:rsidR="00333376" w:rsidRDefault="004606AE">
      <w:pPr>
        <w:pStyle w:val="Heading1"/>
        <w:spacing w:before="280" w:after="140"/>
      </w:pPr>
      <w:r>
        <w:rPr>
          <w:rFonts w:eastAsia="Times New Roman"/>
          <w:b/>
          <w:bCs/>
          <w:color w:val="000000"/>
          <w:sz w:val="28"/>
          <w:szCs w:val="28"/>
        </w:rPr>
        <w:t>7. Table folders</w:t>
      </w:r>
    </w:p>
    <w:p w14:paraId="4769FB09" w14:textId="77777777" w:rsidR="00333376" w:rsidRDefault="004606AE">
      <w:pPr>
        <w:pStyle w:val="Heading2"/>
        <w:spacing w:before="220" w:after="120"/>
      </w:pPr>
      <w:r>
        <w:rPr>
          <w:rFonts w:eastAsia="Times New Roman"/>
          <w:b/>
          <w:bCs/>
          <w:color w:val="000000"/>
          <w:sz w:val="24"/>
          <w:szCs w:val="24"/>
        </w:rPr>
        <w:t>Table1</w:t>
      </w:r>
    </w:p>
    <w:p w14:paraId="47D05512" w14:textId="77777777" w:rsidR="00333376" w:rsidRDefault="004606AE">
      <w:pPr>
        <w:pStyle w:val="ListParagraph"/>
        <w:numPr>
          <w:ilvl w:val="0"/>
          <w:numId w:val="2"/>
        </w:numPr>
        <w:spacing w:after="120"/>
      </w:pPr>
      <w:r>
        <w:rPr>
          <w:rFonts w:ascii="Consolas" w:eastAsia="Consolas" w:hAnsi="Consolas" w:cs="Consolas"/>
          <w:b/>
          <w:bCs/>
        </w:rPr>
        <w:t>1.MakeAnnualfactors.sas</w:t>
      </w:r>
      <w:r>
        <w:rPr>
          <w:rFonts w:eastAsia="Times New Roman"/>
          <w:sz w:val="22"/>
          <w:szCs w:val="22"/>
        </w:rPr>
        <w:t xml:space="preserve"> — Annualizes the monthly pricing factors and merges them with the annual uncertainty shocks and the mispricing factor. Output: annualfactors.dta.</w:t>
      </w:r>
    </w:p>
    <w:p w14:paraId="1E5C7459" w14:textId="5CD07C5F" w:rsidR="00333376" w:rsidRDefault="004606AE">
      <w:pPr>
        <w:pStyle w:val="ListParagraph"/>
        <w:numPr>
          <w:ilvl w:val="0"/>
          <w:numId w:val="2"/>
        </w:numPr>
        <w:spacing w:after="120"/>
      </w:pPr>
      <w:r>
        <w:rPr>
          <w:rFonts w:ascii="Consolas" w:eastAsia="Consolas" w:hAnsi="Consolas" w:cs="Consolas"/>
          <w:b/>
          <w:bCs/>
        </w:rPr>
        <w:t>1.Summary.do</w:t>
      </w:r>
      <w:r>
        <w:rPr>
          <w:rFonts w:eastAsia="Times New Roman"/>
          <w:sz w:val="22"/>
          <w:szCs w:val="22"/>
        </w:rPr>
        <w:t xml:space="preserve"> — The summary statistics of the firm-level TFP growth, the AR(1) coefficients, and the correlations between the uncertainty shocks and the pricing factors.</w:t>
      </w:r>
    </w:p>
    <w:p w14:paraId="5BE847E2" w14:textId="77777777" w:rsidR="00333376" w:rsidRDefault="004606AE">
      <w:pPr>
        <w:pStyle w:val="ListParagraph"/>
        <w:numPr>
          <w:ilvl w:val="0"/>
          <w:numId w:val="2"/>
        </w:numPr>
        <w:spacing w:after="120"/>
      </w:pPr>
      <w:r>
        <w:rPr>
          <w:rFonts w:ascii="Consolas" w:eastAsia="Consolas" w:hAnsi="Consolas" w:cs="Consolas"/>
          <w:b/>
          <w:bCs/>
        </w:rPr>
        <w:t>1.Timeseriescorrelation.do</w:t>
      </w:r>
      <w:r>
        <w:rPr>
          <w:rFonts w:eastAsia="Times New Roman"/>
          <w:sz w:val="22"/>
          <w:szCs w:val="22"/>
        </w:rPr>
        <w:t xml:space="preserve"> — The correlations of the uncertainty series with the industrial production growth, the JLN uncertainty, and the aggregate TFP volatility (GARCH).</w:t>
      </w:r>
    </w:p>
    <w:p w14:paraId="791A82DD" w14:textId="77777777" w:rsidR="00333376" w:rsidRDefault="004606AE">
      <w:pPr>
        <w:pStyle w:val="ListParagraph"/>
        <w:numPr>
          <w:ilvl w:val="0"/>
          <w:numId w:val="2"/>
        </w:numPr>
        <w:spacing w:after="120"/>
      </w:pPr>
      <w:r>
        <w:rPr>
          <w:rFonts w:ascii="Consolas" w:eastAsia="Consolas" w:hAnsi="Consolas" w:cs="Consolas"/>
          <w:b/>
          <w:bCs/>
        </w:rPr>
        <w:t>1.VIXcorrelation.sas</w:t>
      </w:r>
      <w:r>
        <w:rPr>
          <w:rFonts w:eastAsia="Times New Roman"/>
          <w:sz w:val="22"/>
          <w:szCs w:val="22"/>
        </w:rPr>
        <w:t xml:space="preserve"> — The correlation between the uncertainty shocks and the change in VXO.</w:t>
      </w:r>
    </w:p>
    <w:p w14:paraId="091B495B" w14:textId="471C8CF2" w:rsidR="00333376" w:rsidRDefault="004606AE">
      <w:pPr>
        <w:spacing w:after="120"/>
      </w:pPr>
      <w:r>
        <w:rPr>
          <w:rFonts w:eastAsia="Times New Roman"/>
          <w:sz w:val="22"/>
          <w:szCs w:val="22"/>
        </w:rPr>
        <w:t>Data: TFP.xlsx (Firm-level TFP growth estimation), annualfactors.dta (all annualized pricing factors), PCAdispersion_factor2.dta (uncertainty measures), IPindex_mean.dta (IP index), ip.csv (uncertainty shocks and IP growth series), JLN_UNC.csv (uncertainty shocks and JLN uncertainty series), Agg_TFP_Fed2.xlsx (Fed aggregate TFP series), aggtfp_garch2.csv (aggregate TFP uncertainty from Garch model), vxo.xlsx, and allfactor_dvix.sas7bdat (annualized VIX index).</w:t>
      </w:r>
    </w:p>
    <w:p w14:paraId="76D9DF47" w14:textId="77777777" w:rsidR="00333376" w:rsidRDefault="004606AE">
      <w:pPr>
        <w:pStyle w:val="Heading2"/>
        <w:spacing w:before="220" w:after="120"/>
      </w:pPr>
      <w:r>
        <w:rPr>
          <w:rFonts w:eastAsia="Times New Roman"/>
          <w:b/>
          <w:bCs/>
          <w:color w:val="000000"/>
          <w:sz w:val="24"/>
          <w:szCs w:val="24"/>
        </w:rPr>
        <w:t>Table2</w:t>
      </w:r>
    </w:p>
    <w:p w14:paraId="1F57A1FA" w14:textId="666E8995" w:rsidR="00333376" w:rsidRDefault="004606AE">
      <w:pPr>
        <w:pStyle w:val="ListParagraph"/>
        <w:numPr>
          <w:ilvl w:val="0"/>
          <w:numId w:val="2"/>
        </w:numPr>
        <w:spacing w:after="120"/>
      </w:pPr>
      <w:r>
        <w:rPr>
          <w:rFonts w:ascii="Consolas" w:eastAsia="Consolas" w:hAnsi="Consolas" w:cs="Consolas"/>
          <w:b/>
          <w:bCs/>
        </w:rPr>
        <w:t>2.FMRegression_FF.m</w:t>
      </w:r>
      <w:r>
        <w:rPr>
          <w:rFonts w:eastAsia="Times New Roman"/>
          <w:sz w:val="22"/>
          <w:szCs w:val="22"/>
        </w:rPr>
        <w:t xml:space="preserve"> — Annual Fama-MacBeth two-pass regressions of the Fama-French factor models augmented with the uncertainty shocks. The input files ff6_annual_disp / disp2 / disp3</w:t>
      </w:r>
      <w:r w:rsidR="005C7292">
        <w:rPr>
          <w:rFonts w:eastAsia="Times New Roman"/>
          <w:sz w:val="22"/>
          <w:szCs w:val="22"/>
        </w:rPr>
        <w:t>_negativeprc</w:t>
      </w:r>
      <w:r>
        <w:rPr>
          <w:rFonts w:eastAsia="Times New Roman"/>
          <w:sz w:val="22"/>
          <w:szCs w:val="22"/>
        </w:rPr>
        <w:t xml:space="preserve"> correspond to the total, macro, and micro uncertainty.</w:t>
      </w:r>
    </w:p>
    <w:p w14:paraId="7FEDBEF8" w14:textId="0C89E408" w:rsidR="00333376" w:rsidRDefault="004606AE">
      <w:pPr>
        <w:pStyle w:val="ListParagraph"/>
        <w:numPr>
          <w:ilvl w:val="0"/>
          <w:numId w:val="2"/>
        </w:numPr>
        <w:spacing w:after="120"/>
      </w:pPr>
      <w:r>
        <w:rPr>
          <w:rFonts w:ascii="Consolas" w:eastAsia="Consolas" w:hAnsi="Consolas" w:cs="Consolas"/>
          <w:b/>
          <w:bCs/>
        </w:rPr>
        <w:lastRenderedPageBreak/>
        <w:t>2.FMRegression_HXZ.m</w:t>
      </w:r>
      <w:r>
        <w:rPr>
          <w:rFonts w:eastAsia="Times New Roman"/>
          <w:sz w:val="22"/>
          <w:szCs w:val="22"/>
        </w:rPr>
        <w:t xml:space="preserve"> — The same regressions for the HXZ q-factor model (q_annual_disp / disp2 / disp3</w:t>
      </w:r>
      <w:r w:rsidR="005C7292">
        <w:rPr>
          <w:rFonts w:eastAsia="Times New Roman"/>
          <w:sz w:val="22"/>
          <w:szCs w:val="22"/>
        </w:rPr>
        <w:t>_negativeprc</w:t>
      </w:r>
      <w:r>
        <w:rPr>
          <w:rFonts w:eastAsia="Times New Roman"/>
          <w:sz w:val="22"/>
          <w:szCs w:val="22"/>
        </w:rPr>
        <w:t>) and the HMXZ model (q5_annual</w:t>
      </w:r>
      <w:r w:rsidR="005C7292">
        <w:rPr>
          <w:rFonts w:eastAsia="Times New Roman"/>
          <w:sz w:val="22"/>
          <w:szCs w:val="22"/>
        </w:rPr>
        <w:t>_disp_negativeprc</w:t>
      </w:r>
      <w:r>
        <w:rPr>
          <w:rFonts w:eastAsia="Times New Roman"/>
          <w:sz w:val="22"/>
          <w:szCs w:val="22"/>
        </w:rPr>
        <w:t>).</w:t>
      </w:r>
    </w:p>
    <w:p w14:paraId="5EC4376A" w14:textId="6A90BC16" w:rsidR="00333376" w:rsidRDefault="004606AE">
      <w:pPr>
        <w:spacing w:after="120"/>
      </w:pPr>
      <w:r>
        <w:rPr>
          <w:rFonts w:eastAsia="Times New Roman"/>
          <w:sz w:val="22"/>
          <w:szCs w:val="22"/>
        </w:rPr>
        <w:t xml:space="preserve">Data: the annual factor-uncertainty files, the annual test assets (testasset45y_negativeprc.csv), and the functions r2.m </w:t>
      </w:r>
      <w:r w:rsidR="005E194F">
        <w:rPr>
          <w:rFonts w:eastAsia="Times New Roman"/>
          <w:sz w:val="22"/>
          <w:szCs w:val="22"/>
        </w:rPr>
        <w:t xml:space="preserve">(adjusted R-square) </w:t>
      </w:r>
      <w:r>
        <w:rPr>
          <w:rFonts w:eastAsia="Times New Roman"/>
          <w:sz w:val="22"/>
          <w:szCs w:val="22"/>
        </w:rPr>
        <w:t>and nw.m</w:t>
      </w:r>
      <w:r w:rsidR="005E194F">
        <w:rPr>
          <w:rFonts w:eastAsia="Times New Roman"/>
          <w:sz w:val="22"/>
          <w:szCs w:val="22"/>
        </w:rPr>
        <w:t xml:space="preserve"> (Newey-West corrected standard errors)</w:t>
      </w:r>
      <w:r>
        <w:rPr>
          <w:rFonts w:eastAsia="Times New Roman"/>
          <w:sz w:val="22"/>
          <w:szCs w:val="22"/>
        </w:rPr>
        <w:t>.</w:t>
      </w:r>
    </w:p>
    <w:p w14:paraId="288EB926" w14:textId="77777777" w:rsidR="00333376" w:rsidRDefault="004606AE">
      <w:pPr>
        <w:pStyle w:val="Heading2"/>
        <w:spacing w:before="220" w:after="120"/>
      </w:pPr>
      <w:r>
        <w:rPr>
          <w:rFonts w:eastAsia="Times New Roman"/>
          <w:b/>
          <w:bCs/>
          <w:color w:val="000000"/>
          <w:sz w:val="24"/>
          <w:szCs w:val="24"/>
        </w:rPr>
        <w:t>Table3</w:t>
      </w:r>
    </w:p>
    <w:p w14:paraId="06619FE7" w14:textId="103AFD30" w:rsidR="00333376" w:rsidRDefault="004606AE">
      <w:pPr>
        <w:pStyle w:val="ListParagraph"/>
        <w:numPr>
          <w:ilvl w:val="0"/>
          <w:numId w:val="2"/>
        </w:numPr>
        <w:spacing w:after="120"/>
      </w:pPr>
      <w:r>
        <w:rPr>
          <w:rFonts w:ascii="Consolas" w:eastAsia="Consolas" w:hAnsi="Consolas" w:cs="Consolas"/>
          <w:b/>
          <w:bCs/>
        </w:rPr>
        <w:t>3.FMRegression_JLN.m</w:t>
      </w:r>
      <w:r>
        <w:rPr>
          <w:rFonts w:eastAsia="Times New Roman"/>
          <w:sz w:val="22"/>
          <w:szCs w:val="22"/>
        </w:rPr>
        <w:t xml:space="preserve"> —the Fama-MacBeth regressions controlling for the JLN macro uncertainty (</w:t>
      </w:r>
      <w:r w:rsidR="0062532D">
        <w:rPr>
          <w:rFonts w:eastAsia="Times New Roman"/>
          <w:sz w:val="22"/>
          <w:szCs w:val="22"/>
        </w:rPr>
        <w:t>q_annual_disp/disp2/disp3_negativeprc_JLN correspond to the total macro, and micro uncertainty</w:t>
      </w:r>
      <w:r>
        <w:rPr>
          <w:rFonts w:eastAsia="Times New Roman"/>
          <w:sz w:val="22"/>
          <w:szCs w:val="22"/>
        </w:rPr>
        <w:t>).</w:t>
      </w:r>
    </w:p>
    <w:p w14:paraId="6A402420" w14:textId="5A24DA99" w:rsidR="00333376" w:rsidRDefault="004606AE">
      <w:pPr>
        <w:pStyle w:val="ListParagraph"/>
        <w:numPr>
          <w:ilvl w:val="0"/>
          <w:numId w:val="2"/>
        </w:numPr>
        <w:spacing w:after="120"/>
      </w:pPr>
      <w:r>
        <w:rPr>
          <w:rFonts w:ascii="Consolas" w:eastAsia="Consolas" w:hAnsi="Consolas" w:cs="Consolas"/>
          <w:b/>
          <w:bCs/>
        </w:rPr>
        <w:t>3.MakeResiduals.do</w:t>
      </w:r>
      <w:r>
        <w:rPr>
          <w:rFonts w:eastAsia="Times New Roman"/>
          <w:sz w:val="22"/>
          <w:szCs w:val="22"/>
        </w:rPr>
        <w:t xml:space="preserve"> — Constructs the residual uncertainty shocks by regressing the total uncertainty on the macro uncertainty</w:t>
      </w:r>
      <w:r w:rsidR="00293979">
        <w:rPr>
          <w:rFonts w:eastAsia="Times New Roman"/>
          <w:sz w:val="22"/>
          <w:szCs w:val="22"/>
        </w:rPr>
        <w:t xml:space="preserve">, </w:t>
      </w:r>
      <w:r>
        <w:rPr>
          <w:rFonts w:eastAsia="Times New Roman"/>
          <w:sz w:val="22"/>
          <w:szCs w:val="22"/>
        </w:rPr>
        <w:t>and the reverse</w:t>
      </w:r>
      <w:r w:rsidR="00293979">
        <w:rPr>
          <w:rFonts w:eastAsia="Times New Roman"/>
          <w:sz w:val="22"/>
          <w:szCs w:val="22"/>
        </w:rPr>
        <w:t xml:space="preserve"> order</w:t>
      </w:r>
      <w:r w:rsidR="0062532D">
        <w:rPr>
          <w:rFonts w:eastAsia="Times New Roman"/>
          <w:sz w:val="22"/>
          <w:szCs w:val="22"/>
        </w:rPr>
        <w:t>.</w:t>
      </w:r>
    </w:p>
    <w:p w14:paraId="39B6DD35" w14:textId="33E85C1C" w:rsidR="00333376" w:rsidRPr="004B5992" w:rsidRDefault="004606AE">
      <w:pPr>
        <w:pStyle w:val="ListParagraph"/>
        <w:numPr>
          <w:ilvl w:val="0"/>
          <w:numId w:val="2"/>
        </w:numPr>
        <w:spacing w:after="120"/>
      </w:pPr>
      <w:r>
        <w:rPr>
          <w:rFonts w:ascii="Consolas" w:eastAsia="Consolas" w:hAnsi="Consolas" w:cs="Consolas"/>
          <w:b/>
          <w:bCs/>
        </w:rPr>
        <w:t>3.FMRegression_residual.m</w:t>
      </w:r>
      <w:r>
        <w:rPr>
          <w:rFonts w:eastAsia="Times New Roman"/>
          <w:sz w:val="22"/>
          <w:szCs w:val="22"/>
        </w:rPr>
        <w:t xml:space="preserve"> — the Fama-MacBeth regressions with the residual uncertainty pairs (</w:t>
      </w:r>
      <w:r w:rsidR="0062532D">
        <w:rPr>
          <w:rFonts w:eastAsia="Times New Roman"/>
          <w:sz w:val="22"/>
          <w:szCs w:val="22"/>
        </w:rPr>
        <w:t>q_annual_disp6/disp7_negativeprc</w:t>
      </w:r>
      <w:r>
        <w:rPr>
          <w:rFonts w:eastAsia="Times New Roman"/>
          <w:sz w:val="22"/>
          <w:szCs w:val="22"/>
        </w:rPr>
        <w:t>).</w:t>
      </w:r>
    </w:p>
    <w:p w14:paraId="6705C7FC" w14:textId="55C1D6B1" w:rsidR="004B5992" w:rsidRDefault="004B5992" w:rsidP="004B5992">
      <w:pPr>
        <w:spacing w:after="120"/>
      </w:pPr>
      <w:r w:rsidRPr="004B5992">
        <w:rPr>
          <w:rFonts w:eastAsia="Times New Roman"/>
          <w:sz w:val="22"/>
          <w:szCs w:val="22"/>
        </w:rPr>
        <w:t xml:space="preserve">Data: the annual factor-uncertainty files, the annual test assets (testasset45y_negativeprc.csv), </w:t>
      </w:r>
      <w:r>
        <w:rPr>
          <w:rFonts w:eastAsia="Times New Roman"/>
          <w:sz w:val="22"/>
          <w:szCs w:val="22"/>
        </w:rPr>
        <w:t xml:space="preserve">dtfp_std_star1971 (uncertainty estimates from 1971), </w:t>
      </w:r>
      <w:r w:rsidRPr="004B5992">
        <w:rPr>
          <w:rFonts w:eastAsia="Times New Roman"/>
          <w:sz w:val="22"/>
          <w:szCs w:val="22"/>
        </w:rPr>
        <w:t>and the functions r2.m (adjusted R-square) and nw.m (Newey-West corrected standard errors).</w:t>
      </w:r>
    </w:p>
    <w:p w14:paraId="7422683C" w14:textId="77777777" w:rsidR="004B5992" w:rsidRDefault="004B5992" w:rsidP="004B5992">
      <w:pPr>
        <w:pStyle w:val="ListParagraph"/>
        <w:spacing w:after="120"/>
        <w:ind w:left="431"/>
      </w:pPr>
    </w:p>
    <w:p w14:paraId="3750FE37" w14:textId="77777777" w:rsidR="00333376" w:rsidRDefault="004606AE">
      <w:pPr>
        <w:pStyle w:val="Heading2"/>
        <w:spacing w:before="220" w:after="120"/>
      </w:pPr>
      <w:r>
        <w:rPr>
          <w:rFonts w:eastAsia="Times New Roman"/>
          <w:b/>
          <w:bCs/>
          <w:color w:val="000000"/>
          <w:sz w:val="24"/>
          <w:szCs w:val="24"/>
        </w:rPr>
        <w:t>Table4</w:t>
      </w:r>
    </w:p>
    <w:p w14:paraId="39355428" w14:textId="77777777" w:rsidR="00333376" w:rsidRDefault="004606AE">
      <w:pPr>
        <w:pStyle w:val="ListParagraph"/>
        <w:numPr>
          <w:ilvl w:val="0"/>
          <w:numId w:val="2"/>
        </w:numPr>
        <w:spacing w:after="120"/>
      </w:pPr>
      <w:r>
        <w:rPr>
          <w:rFonts w:ascii="Consolas" w:eastAsia="Consolas" w:hAnsi="Consolas" w:cs="Consolas"/>
          <w:b/>
          <w:bCs/>
        </w:rPr>
        <w:t>4.MakeBaseassets.sas</w:t>
      </w:r>
      <w:r>
        <w:rPr>
          <w:rFonts w:eastAsia="Times New Roman"/>
          <w:sz w:val="22"/>
          <w:szCs w:val="22"/>
        </w:rPr>
        <w:t xml:space="preserve"> — Constructs the monthly and the annualized base assets used in the mimicking factor projection.</w:t>
      </w:r>
    </w:p>
    <w:p w14:paraId="4DEA43A5" w14:textId="77777777" w:rsidR="00333376" w:rsidRDefault="004606AE">
      <w:pPr>
        <w:pStyle w:val="ListParagraph"/>
        <w:numPr>
          <w:ilvl w:val="0"/>
          <w:numId w:val="2"/>
        </w:numPr>
        <w:spacing w:after="120"/>
      </w:pPr>
      <w:r>
        <w:rPr>
          <w:rFonts w:ascii="Consolas" w:eastAsia="Consolas" w:hAnsi="Consolas" w:cs="Consolas"/>
          <w:b/>
          <w:bCs/>
        </w:rPr>
        <w:t>4.MakeMimickingfactors.sas</w:t>
      </w:r>
      <w:r>
        <w:rPr>
          <w:rFonts w:eastAsia="Times New Roman"/>
          <w:sz w:val="22"/>
          <w:szCs w:val="22"/>
        </w:rPr>
        <w:t xml:space="preserve"> — Estimates the full-sample projection weights and constructs the monthly mimicking uncertainty factors (disp, disp_hat, disp_res).</w:t>
      </w:r>
    </w:p>
    <w:p w14:paraId="2F31E4DD" w14:textId="7E8A2F8F" w:rsidR="00333376" w:rsidRDefault="004606AE">
      <w:pPr>
        <w:pStyle w:val="ListParagraph"/>
        <w:numPr>
          <w:ilvl w:val="0"/>
          <w:numId w:val="2"/>
        </w:numPr>
        <w:spacing w:after="120"/>
      </w:pPr>
      <w:r>
        <w:rPr>
          <w:rFonts w:ascii="Consolas" w:eastAsia="Consolas" w:hAnsi="Consolas" w:cs="Consolas"/>
          <w:b/>
          <w:bCs/>
        </w:rPr>
        <w:t>4.FMRegression_FF.m / 4.FMRegression_HXZ.m / 4.FMRegression_SY.m</w:t>
      </w:r>
      <w:r>
        <w:rPr>
          <w:rFonts w:eastAsia="Times New Roman"/>
          <w:sz w:val="22"/>
          <w:szCs w:val="22"/>
        </w:rPr>
        <w:t xml:space="preserve"> — The full-sample monthly Fama-MacBeth regressions for the Fama-French, HXZ, and S</w:t>
      </w:r>
      <w:r w:rsidR="00CB03F2">
        <w:rPr>
          <w:rFonts w:eastAsia="Times New Roman"/>
          <w:sz w:val="22"/>
          <w:szCs w:val="22"/>
        </w:rPr>
        <w:t xml:space="preserve">Y augmented factor </w:t>
      </w:r>
      <w:r>
        <w:rPr>
          <w:rFonts w:eastAsia="Times New Roman"/>
          <w:sz w:val="22"/>
          <w:szCs w:val="22"/>
        </w:rPr>
        <w:t>models.</w:t>
      </w:r>
    </w:p>
    <w:p w14:paraId="2825B68C" w14:textId="74C2AD37" w:rsidR="00333376" w:rsidRDefault="004606AE">
      <w:pPr>
        <w:pStyle w:val="ListParagraph"/>
        <w:numPr>
          <w:ilvl w:val="0"/>
          <w:numId w:val="2"/>
        </w:numPr>
        <w:spacing w:after="120"/>
      </w:pPr>
      <w:r>
        <w:rPr>
          <w:rFonts w:ascii="Consolas" w:eastAsia="Consolas" w:hAnsi="Consolas" w:cs="Consolas"/>
          <w:b/>
          <w:bCs/>
        </w:rPr>
        <w:t>Extendingwindow\4.MakeMimickingfactors_extending.sas</w:t>
      </w:r>
      <w:r>
        <w:rPr>
          <w:rFonts w:eastAsia="Times New Roman"/>
          <w:sz w:val="22"/>
          <w:szCs w:val="22"/>
        </w:rPr>
        <w:t xml:space="preserve"> — </w:t>
      </w:r>
      <w:r w:rsidR="008C4643">
        <w:rPr>
          <w:rFonts w:eastAsia="Times New Roman"/>
          <w:sz w:val="22"/>
          <w:szCs w:val="22"/>
        </w:rPr>
        <w:t>E</w:t>
      </w:r>
      <w:r>
        <w:rPr>
          <w:rFonts w:eastAsia="Times New Roman"/>
          <w:sz w:val="22"/>
          <w:szCs w:val="22"/>
        </w:rPr>
        <w:t xml:space="preserve">stimates the projection weights </w:t>
      </w:r>
      <w:r w:rsidR="008C4643">
        <w:rPr>
          <w:rFonts w:eastAsia="Times New Roman"/>
          <w:sz w:val="22"/>
          <w:szCs w:val="22"/>
        </w:rPr>
        <w:t xml:space="preserve">using the extending window </w:t>
      </w:r>
      <w:r>
        <w:rPr>
          <w:rFonts w:eastAsia="Times New Roman"/>
          <w:sz w:val="22"/>
          <w:szCs w:val="22"/>
        </w:rPr>
        <w:t>from 1995 and exports the FMR1996-FMR2016 files to output\.</w:t>
      </w:r>
    </w:p>
    <w:p w14:paraId="49D8DE8B" w14:textId="646B4D25" w:rsidR="00333376" w:rsidRDefault="004606AE">
      <w:pPr>
        <w:pStyle w:val="ListParagraph"/>
        <w:numPr>
          <w:ilvl w:val="0"/>
          <w:numId w:val="2"/>
        </w:numPr>
        <w:spacing w:after="120"/>
      </w:pPr>
      <w:r>
        <w:rPr>
          <w:rFonts w:ascii="Consolas" w:eastAsia="Consolas" w:hAnsi="Consolas" w:cs="Consolas"/>
          <w:b/>
          <w:bCs/>
        </w:rPr>
        <w:t>Extendingwindow\4.FMRegression_extending.m</w:t>
      </w:r>
      <w:r>
        <w:rPr>
          <w:rFonts w:eastAsia="Times New Roman"/>
          <w:sz w:val="22"/>
          <w:szCs w:val="22"/>
        </w:rPr>
        <w:t xml:space="preserve"> — The extending-window Fama-MacBeth regressions, </w:t>
      </w:r>
      <w:r w:rsidR="00F13D23">
        <w:rPr>
          <w:rFonts w:eastAsia="Times New Roman"/>
          <w:sz w:val="22"/>
          <w:szCs w:val="22"/>
        </w:rPr>
        <w:t>and</w:t>
      </w:r>
      <w:r>
        <w:rPr>
          <w:rFonts w:eastAsia="Times New Roman"/>
          <w:sz w:val="22"/>
          <w:szCs w:val="22"/>
        </w:rPr>
        <w:t xml:space="preserve"> the r2_extending.m.</w:t>
      </w:r>
    </w:p>
    <w:p w14:paraId="1FDE517D" w14:textId="67AED717" w:rsidR="00333376" w:rsidRDefault="004606AE">
      <w:pPr>
        <w:spacing w:after="120"/>
      </w:pPr>
      <w:r>
        <w:rPr>
          <w:rFonts w:eastAsia="Times New Roman"/>
          <w:sz w:val="22"/>
          <w:szCs w:val="22"/>
        </w:rPr>
        <w:t>Data: the monthly factor files (ff6_hat/idio</w:t>
      </w:r>
      <w:r w:rsidR="008C4643">
        <w:rPr>
          <w:rFonts w:eastAsia="Times New Roman"/>
          <w:sz w:val="22"/>
          <w:szCs w:val="22"/>
        </w:rPr>
        <w:t>_negativeprc</w:t>
      </w:r>
      <w:r>
        <w:rPr>
          <w:rFonts w:eastAsia="Times New Roman"/>
          <w:sz w:val="22"/>
          <w:szCs w:val="22"/>
        </w:rPr>
        <w:t>, q_hat/idio</w:t>
      </w:r>
      <w:r w:rsidR="008C4643">
        <w:rPr>
          <w:rFonts w:eastAsia="Times New Roman"/>
          <w:sz w:val="22"/>
          <w:szCs w:val="22"/>
        </w:rPr>
        <w:t>_negativeprc</w:t>
      </w:r>
      <w:r>
        <w:rPr>
          <w:rFonts w:eastAsia="Times New Roman"/>
          <w:sz w:val="22"/>
          <w:szCs w:val="22"/>
        </w:rPr>
        <w:t>, misp_hat</w:t>
      </w:r>
      <w:r w:rsidR="008C4643">
        <w:rPr>
          <w:rFonts w:eastAsia="Times New Roman"/>
          <w:sz w:val="22"/>
          <w:szCs w:val="22"/>
        </w:rPr>
        <w:t>/</w:t>
      </w:r>
      <w:r>
        <w:rPr>
          <w:rFonts w:eastAsia="Times New Roman"/>
          <w:sz w:val="22"/>
          <w:szCs w:val="22"/>
        </w:rPr>
        <w:t>idio</w:t>
      </w:r>
      <w:r w:rsidR="008C4643">
        <w:rPr>
          <w:rFonts w:eastAsia="Times New Roman"/>
          <w:sz w:val="22"/>
          <w:szCs w:val="22"/>
        </w:rPr>
        <w:t>_negativeprc</w:t>
      </w:r>
      <w:r>
        <w:rPr>
          <w:rFonts w:eastAsia="Times New Roman"/>
          <w:sz w:val="22"/>
          <w:szCs w:val="22"/>
        </w:rPr>
        <w:t>, q5_factor), the 45 monthly test assets (testasset.csv, in percent</w:t>
      </w:r>
      <w:r w:rsidR="00D36CD6">
        <w:rPr>
          <w:rFonts w:eastAsia="Times New Roman"/>
          <w:sz w:val="22"/>
          <w:szCs w:val="22"/>
        </w:rPr>
        <w:t>, manually copied and pasted in testasset.csv</w:t>
      </w:r>
      <w:r>
        <w:rPr>
          <w:rFonts w:eastAsia="Times New Roman"/>
          <w:sz w:val="22"/>
          <w:szCs w:val="22"/>
        </w:rPr>
        <w:t>), the Stambaugh-Yuan monthly factors (m4.sas7bdat), and the r2.m and nw.m.</w:t>
      </w:r>
    </w:p>
    <w:p w14:paraId="2EE8FDD4" w14:textId="77777777" w:rsidR="00333376" w:rsidRDefault="004606AE">
      <w:pPr>
        <w:pStyle w:val="Heading2"/>
        <w:spacing w:before="220" w:after="120"/>
      </w:pPr>
      <w:r>
        <w:rPr>
          <w:rFonts w:eastAsia="Times New Roman"/>
          <w:b/>
          <w:bCs/>
          <w:color w:val="000000"/>
          <w:sz w:val="24"/>
          <w:szCs w:val="24"/>
        </w:rPr>
        <w:t>Table5</w:t>
      </w:r>
    </w:p>
    <w:p w14:paraId="3B5E8A8D" w14:textId="77777777" w:rsidR="00333376" w:rsidRDefault="004606AE">
      <w:pPr>
        <w:pStyle w:val="ListParagraph"/>
        <w:numPr>
          <w:ilvl w:val="0"/>
          <w:numId w:val="2"/>
        </w:numPr>
        <w:spacing w:after="120"/>
      </w:pPr>
      <w:r>
        <w:rPr>
          <w:rFonts w:ascii="Consolas" w:eastAsia="Consolas" w:hAnsi="Consolas" w:cs="Consolas"/>
          <w:b/>
          <w:bCs/>
        </w:rPr>
        <w:t>5.GX_tests.m</w:t>
      </w:r>
      <w:r>
        <w:rPr>
          <w:rFonts w:eastAsia="Times New Roman"/>
          <w:sz w:val="22"/>
          <w:szCs w:val="22"/>
        </w:rPr>
        <w:t xml:space="preserve"> — The Giglio-Xiu (2021) three-pass regressions for the FF6 factors and the three uncertainty shocks.</w:t>
      </w:r>
    </w:p>
    <w:p w14:paraId="34F62993" w14:textId="77777777" w:rsidR="00333376" w:rsidRDefault="004606AE">
      <w:pPr>
        <w:pStyle w:val="ListParagraph"/>
        <w:numPr>
          <w:ilvl w:val="0"/>
          <w:numId w:val="2"/>
        </w:numPr>
        <w:spacing w:after="120"/>
      </w:pPr>
      <w:r>
        <w:rPr>
          <w:rFonts w:ascii="Consolas" w:eastAsia="Consolas" w:hAnsi="Consolas" w:cs="Consolas"/>
          <w:b/>
          <w:bCs/>
        </w:rPr>
        <w:t>5.GX_tests_q.m</w:t>
      </w:r>
      <w:r>
        <w:rPr>
          <w:rFonts w:eastAsia="Times New Roman"/>
          <w:sz w:val="22"/>
          <w:szCs w:val="22"/>
        </w:rPr>
        <w:t xml:space="preserve"> — The three-pass regressions for the HMXZ factors and the macro uncertainty shock.</w:t>
      </w:r>
    </w:p>
    <w:p w14:paraId="62A5CAE3" w14:textId="591496BD" w:rsidR="00333376" w:rsidRDefault="001B1BF6">
      <w:pPr>
        <w:spacing w:after="120"/>
      </w:pPr>
      <w:r>
        <w:rPr>
          <w:rFonts w:eastAsia="Times New Roman"/>
          <w:sz w:val="22"/>
          <w:szCs w:val="22"/>
        </w:rPr>
        <w:t xml:space="preserve">Data: ff6_annual_dispall_negativeprc, q5_annual_disp_negativeprc. </w:t>
      </w:r>
      <w:r w:rsidR="004606AE">
        <w:rPr>
          <w:rFonts w:eastAsia="Times New Roman"/>
          <w:sz w:val="22"/>
          <w:szCs w:val="22"/>
        </w:rPr>
        <w:t xml:space="preserve">Both programs use the 198 annual test assets (testasset198.csv) and </w:t>
      </w:r>
      <w:r w:rsidR="008C4643">
        <w:rPr>
          <w:rFonts w:eastAsia="Times New Roman"/>
          <w:sz w:val="22"/>
          <w:szCs w:val="22"/>
        </w:rPr>
        <w:t>the rest of Matlab package</w:t>
      </w:r>
      <w:r w:rsidR="004606AE">
        <w:rPr>
          <w:rFonts w:eastAsia="Times New Roman"/>
          <w:sz w:val="22"/>
          <w:szCs w:val="22"/>
        </w:rPr>
        <w:t xml:space="preserve"> provided by Giglio and Xiu (</w:t>
      </w:r>
      <w:r w:rsidR="0061526E">
        <w:rPr>
          <w:rFonts w:eastAsia="Times New Roman"/>
          <w:sz w:val="22"/>
          <w:szCs w:val="22"/>
        </w:rPr>
        <w:t>2021</w:t>
      </w:r>
      <w:r w:rsidR="008C4643">
        <w:rPr>
          <w:rFonts w:eastAsia="Times New Roman"/>
          <w:sz w:val="22"/>
          <w:szCs w:val="22"/>
        </w:rPr>
        <w:t>)</w:t>
      </w:r>
      <w:r w:rsidR="004606AE">
        <w:rPr>
          <w:rFonts w:eastAsia="Times New Roman"/>
          <w:sz w:val="22"/>
          <w:szCs w:val="22"/>
        </w:rPr>
        <w:t xml:space="preserve"> without modification.</w:t>
      </w:r>
    </w:p>
    <w:p w14:paraId="0D65422E" w14:textId="77777777" w:rsidR="00333376" w:rsidRDefault="004606AE">
      <w:pPr>
        <w:pStyle w:val="Heading2"/>
        <w:spacing w:before="220" w:after="120"/>
      </w:pPr>
      <w:r>
        <w:rPr>
          <w:rFonts w:eastAsia="Times New Roman"/>
          <w:b/>
          <w:bCs/>
          <w:color w:val="000000"/>
          <w:sz w:val="24"/>
          <w:szCs w:val="24"/>
        </w:rPr>
        <w:t>Table6</w:t>
      </w:r>
    </w:p>
    <w:p w14:paraId="00A89EC7" w14:textId="6F61F40C" w:rsidR="00333376" w:rsidRDefault="004606AE">
      <w:pPr>
        <w:pStyle w:val="ListParagraph"/>
        <w:numPr>
          <w:ilvl w:val="0"/>
          <w:numId w:val="2"/>
        </w:numPr>
        <w:spacing w:after="120"/>
      </w:pPr>
      <w:r>
        <w:rPr>
          <w:rFonts w:ascii="Consolas" w:eastAsia="Consolas" w:hAnsi="Consolas" w:cs="Consolas"/>
          <w:b/>
          <w:bCs/>
        </w:rPr>
        <w:lastRenderedPageBreak/>
        <w:t>6.MakeFirmlevelpanel.sas</w:t>
      </w:r>
      <w:r>
        <w:rPr>
          <w:rFonts w:eastAsia="Times New Roman"/>
          <w:sz w:val="22"/>
          <w:szCs w:val="22"/>
        </w:rPr>
        <w:t xml:space="preserve"> — Builds the firm-month panel that merges the EG deciles, the firm-level TFP growth, the firm characteristics, and the uncertainty shocks. </w:t>
      </w:r>
      <w:r w:rsidR="00660D92">
        <w:rPr>
          <w:rFonts w:eastAsia="Times New Roman"/>
          <w:sz w:val="22"/>
          <w:szCs w:val="22"/>
        </w:rPr>
        <w:t>Data</w:t>
      </w:r>
      <w:r>
        <w:rPr>
          <w:rFonts w:eastAsia="Times New Roman"/>
          <w:sz w:val="22"/>
          <w:szCs w:val="22"/>
        </w:rPr>
        <w:t>: portret10_unc_pca.dta.</w:t>
      </w:r>
    </w:p>
    <w:p w14:paraId="5FDFF762" w14:textId="6D5E5ADB" w:rsidR="00333376" w:rsidRPr="0070091D" w:rsidRDefault="004606AE">
      <w:pPr>
        <w:pStyle w:val="ListParagraph"/>
        <w:numPr>
          <w:ilvl w:val="0"/>
          <w:numId w:val="2"/>
        </w:numPr>
        <w:spacing w:after="120"/>
      </w:pPr>
      <w:r>
        <w:rPr>
          <w:rFonts w:ascii="Consolas" w:eastAsia="Consolas" w:hAnsi="Consolas" w:cs="Consolas"/>
          <w:b/>
          <w:bCs/>
        </w:rPr>
        <w:t>6.Regression.do</w:t>
      </w:r>
      <w:r>
        <w:rPr>
          <w:rFonts w:eastAsia="Times New Roman"/>
          <w:sz w:val="22"/>
          <w:szCs w:val="22"/>
        </w:rPr>
        <w:t xml:space="preserve"> — The panel regressions of the firm-level TFP growth on the lagged uncertainty shocks, HighEG, and their interaction, with the firm and year fixed effects and the firm-clustered standard errors. </w:t>
      </w:r>
    </w:p>
    <w:p w14:paraId="51737AF9" w14:textId="3D1F8FE9" w:rsidR="0070091D" w:rsidRDefault="0070091D" w:rsidP="0070091D">
      <w:pPr>
        <w:spacing w:after="120"/>
        <w:ind w:left="172"/>
      </w:pPr>
      <w:r w:rsidRPr="0070091D">
        <w:rPr>
          <w:rFonts w:eastAsia="Times New Roman"/>
          <w:sz w:val="22"/>
          <w:szCs w:val="22"/>
        </w:rPr>
        <w:t xml:space="preserve">Data: </w:t>
      </w:r>
      <w:r>
        <w:rPr>
          <w:rFonts w:eastAsia="Times New Roman"/>
          <w:sz w:val="22"/>
          <w:szCs w:val="22"/>
        </w:rPr>
        <w:t>portret10_unc_pca.dta</w:t>
      </w:r>
      <w:r w:rsidRPr="0070091D">
        <w:rPr>
          <w:rFonts w:eastAsia="Times New Roman"/>
          <w:sz w:val="22"/>
          <w:szCs w:val="22"/>
        </w:rPr>
        <w:t xml:space="preserve">. </w:t>
      </w:r>
    </w:p>
    <w:p w14:paraId="2E224232" w14:textId="77777777" w:rsidR="00333376" w:rsidRDefault="004606AE">
      <w:pPr>
        <w:pStyle w:val="Heading2"/>
        <w:spacing w:before="220" w:after="120"/>
      </w:pPr>
      <w:r>
        <w:rPr>
          <w:rFonts w:eastAsia="Times New Roman"/>
          <w:b/>
          <w:bCs/>
          <w:color w:val="000000"/>
          <w:sz w:val="24"/>
          <w:szCs w:val="24"/>
        </w:rPr>
        <w:t>Table7</w:t>
      </w:r>
    </w:p>
    <w:p w14:paraId="73524410" w14:textId="4C264958" w:rsidR="00333376" w:rsidRDefault="004606AE">
      <w:pPr>
        <w:pStyle w:val="ListParagraph"/>
        <w:numPr>
          <w:ilvl w:val="0"/>
          <w:numId w:val="2"/>
        </w:numPr>
        <w:spacing w:after="120"/>
      </w:pPr>
      <w:r>
        <w:rPr>
          <w:rFonts w:ascii="Consolas" w:eastAsia="Consolas" w:hAnsi="Consolas" w:cs="Consolas"/>
          <w:b/>
          <w:bCs/>
        </w:rPr>
        <w:t>7.MakeEGpredictordispersion.sas</w:t>
      </w:r>
      <w:r>
        <w:rPr>
          <w:rFonts w:eastAsia="Times New Roman"/>
          <w:sz w:val="22"/>
          <w:szCs w:val="22"/>
        </w:rPr>
        <w:t xml:space="preserve"> — Computes the annual cross-sectional standard deviations of the EG predictors (operating cash flows, Tobin’s q, and the change in ROE) and merges them with the uncertainty</w:t>
      </w:r>
      <w:r w:rsidR="005C090A">
        <w:rPr>
          <w:rFonts w:eastAsia="Times New Roman"/>
          <w:sz w:val="22"/>
          <w:szCs w:val="22"/>
        </w:rPr>
        <w:t xml:space="preserve"> measures</w:t>
      </w:r>
      <w:r>
        <w:rPr>
          <w:rFonts w:eastAsia="Times New Roman"/>
          <w:sz w:val="22"/>
          <w:szCs w:val="22"/>
        </w:rPr>
        <w:t>.</w:t>
      </w:r>
    </w:p>
    <w:p w14:paraId="729BF500" w14:textId="77777777" w:rsidR="0070091D" w:rsidRPr="0070091D" w:rsidRDefault="004606AE">
      <w:pPr>
        <w:pStyle w:val="ListParagraph"/>
        <w:numPr>
          <w:ilvl w:val="0"/>
          <w:numId w:val="2"/>
        </w:numPr>
        <w:spacing w:after="120"/>
      </w:pPr>
      <w:r>
        <w:rPr>
          <w:rFonts w:ascii="Consolas" w:eastAsia="Consolas" w:hAnsi="Consolas" w:cs="Consolas"/>
          <w:b/>
          <w:bCs/>
        </w:rPr>
        <w:t>7.Regression.do</w:t>
      </w:r>
      <w:r>
        <w:rPr>
          <w:rFonts w:eastAsia="Times New Roman"/>
          <w:sz w:val="22"/>
          <w:szCs w:val="22"/>
        </w:rPr>
        <w:t xml:space="preserve"> — The time-series regressions of the EG predictor dispersions on the macro uncertainty and the micro uncertainty</w:t>
      </w:r>
      <w:r w:rsidR="00624173">
        <w:rPr>
          <w:rFonts w:eastAsia="Times New Roman"/>
          <w:sz w:val="22"/>
          <w:szCs w:val="22"/>
        </w:rPr>
        <w:t>.</w:t>
      </w:r>
    </w:p>
    <w:p w14:paraId="360A1A17" w14:textId="0B48601D" w:rsidR="00333376" w:rsidRDefault="00624173" w:rsidP="0070091D">
      <w:pPr>
        <w:spacing w:after="120"/>
      </w:pPr>
      <w:r w:rsidRPr="0070091D">
        <w:rPr>
          <w:rFonts w:eastAsia="Times New Roman"/>
          <w:sz w:val="22"/>
          <w:szCs w:val="22"/>
        </w:rPr>
        <w:t>Data:</w:t>
      </w:r>
      <w:r w:rsidR="004606AE" w:rsidRPr="0070091D">
        <w:rPr>
          <w:rFonts w:eastAsia="Times New Roman"/>
          <w:sz w:val="22"/>
          <w:szCs w:val="22"/>
        </w:rPr>
        <w:t xml:space="preserve"> eia_input1_negativeprc2.xlsx.</w:t>
      </w:r>
    </w:p>
    <w:p w14:paraId="3C97BCFF" w14:textId="77777777" w:rsidR="00333376" w:rsidRDefault="004606AE">
      <w:pPr>
        <w:pStyle w:val="Heading2"/>
        <w:spacing w:before="220" w:after="120"/>
      </w:pPr>
      <w:r>
        <w:rPr>
          <w:rFonts w:eastAsia="Times New Roman"/>
          <w:b/>
          <w:bCs/>
          <w:color w:val="000000"/>
          <w:sz w:val="24"/>
          <w:szCs w:val="24"/>
        </w:rPr>
        <w:t>Table8</w:t>
      </w:r>
    </w:p>
    <w:p w14:paraId="243A57E8" w14:textId="6075C560" w:rsidR="00333376" w:rsidRDefault="004606AE">
      <w:pPr>
        <w:pStyle w:val="ListParagraph"/>
        <w:numPr>
          <w:ilvl w:val="0"/>
          <w:numId w:val="2"/>
        </w:numPr>
        <w:spacing w:after="120"/>
      </w:pPr>
      <w:r>
        <w:rPr>
          <w:rFonts w:ascii="Consolas" w:eastAsia="Consolas" w:hAnsi="Consolas" w:cs="Consolas"/>
          <w:b/>
          <w:bCs/>
        </w:rPr>
        <w:t>8.EGdecomposition.sas</w:t>
      </w:r>
      <w:r>
        <w:rPr>
          <w:rFonts w:eastAsia="Times New Roman"/>
          <w:sz w:val="22"/>
          <w:szCs w:val="22"/>
        </w:rPr>
        <w:t xml:space="preserve"> — Decomposes the expected investment growth into the component predicted by the macro uncertainty and the residual component, forms the decile portfolios sorted by each component, and estimates the average 10-1 return and its alphas (CAPM, FF3, FF4, FF5, FF6, HXZ</w:t>
      </w:r>
      <w:r w:rsidR="00FC087F">
        <w:rPr>
          <w:rFonts w:eastAsia="Times New Roman"/>
          <w:sz w:val="22"/>
          <w:szCs w:val="22"/>
        </w:rPr>
        <w:t>, HMXZ</w:t>
      </w:r>
      <w:r>
        <w:rPr>
          <w:rFonts w:eastAsia="Times New Roman"/>
          <w:sz w:val="22"/>
          <w:szCs w:val="22"/>
        </w:rPr>
        <w:t>, and SY).</w:t>
      </w:r>
    </w:p>
    <w:p w14:paraId="6D4B2DE1" w14:textId="44A51831" w:rsidR="00333376" w:rsidRDefault="00FC087F">
      <w:pPr>
        <w:spacing w:after="120"/>
      </w:pPr>
      <w:r>
        <w:rPr>
          <w:rFonts w:eastAsia="Times New Roman"/>
          <w:sz w:val="22"/>
          <w:szCs w:val="22"/>
        </w:rPr>
        <w:t xml:space="preserve">Data: </w:t>
      </w:r>
      <w:r w:rsidR="004606AE">
        <w:rPr>
          <w:rFonts w:eastAsia="Times New Roman"/>
          <w:sz w:val="22"/>
          <w:szCs w:val="22"/>
        </w:rPr>
        <w:t xml:space="preserve">The </w:t>
      </w:r>
      <w:r w:rsidR="0070091D">
        <w:rPr>
          <w:rFonts w:eastAsia="Times New Roman"/>
          <w:sz w:val="22"/>
          <w:szCs w:val="22"/>
        </w:rPr>
        <w:t xml:space="preserve">decile </w:t>
      </w:r>
      <w:r w:rsidR="004606AE">
        <w:rPr>
          <w:rFonts w:eastAsia="Times New Roman"/>
          <w:sz w:val="22"/>
          <w:szCs w:val="22"/>
        </w:rPr>
        <w:t>portfolio</w:t>
      </w:r>
      <w:r w:rsidR="0070091D">
        <w:rPr>
          <w:rFonts w:eastAsia="Times New Roman"/>
          <w:sz w:val="22"/>
          <w:szCs w:val="22"/>
        </w:rPr>
        <w:t xml:space="preserve"> </w:t>
      </w:r>
      <w:r w:rsidR="004606AE">
        <w:rPr>
          <w:rFonts w:eastAsia="Times New Roman"/>
          <w:sz w:val="22"/>
          <w:szCs w:val="22"/>
        </w:rPr>
        <w:t>return data sets of the two sorts, predictedEG.sas7bdat and residualEG.sas7bdat, are included.</w:t>
      </w:r>
      <w:r w:rsidR="0070091D">
        <w:rPr>
          <w:rFonts w:eastAsia="Times New Roman"/>
          <w:sz w:val="22"/>
          <w:szCs w:val="22"/>
        </w:rPr>
        <w:t xml:space="preserve"> Other pricing factors are included.</w:t>
      </w:r>
    </w:p>
    <w:p w14:paraId="02E6C503" w14:textId="4273FAFE" w:rsidR="006676EF" w:rsidRDefault="006676EF" w:rsidP="006676EF">
      <w:pPr>
        <w:pStyle w:val="Heading1"/>
        <w:spacing w:before="280" w:after="140"/>
      </w:pPr>
      <w:r>
        <w:rPr>
          <w:rFonts w:eastAsia="Times New Roman"/>
          <w:b/>
          <w:bCs/>
          <w:color w:val="000000"/>
          <w:sz w:val="28"/>
          <w:szCs w:val="28"/>
        </w:rPr>
        <w:t>8. logs</w:t>
      </w:r>
    </w:p>
    <w:p w14:paraId="7E17AB8D" w14:textId="618C7D27" w:rsidR="00333376" w:rsidRPr="006676EF" w:rsidRDefault="006676EF" w:rsidP="006676EF">
      <w:pPr>
        <w:spacing w:after="120"/>
        <w:rPr>
          <w:rFonts w:eastAsia="Malgun Gothic"/>
          <w:sz w:val="22"/>
          <w:szCs w:val="22"/>
          <w:lang w:eastAsia="ko-KR"/>
        </w:rPr>
      </w:pPr>
      <w:r w:rsidRPr="006676EF">
        <w:rPr>
          <w:sz w:val="22"/>
          <w:szCs w:val="22"/>
        </w:rPr>
        <w:t>Execution log files for SAS, Stata, and MATLAB (diary) are included. Each log file corresponds to the program with the same filename.</w:t>
      </w:r>
    </w:p>
    <w:sectPr w:rsidR="00333376" w:rsidRPr="006676E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55DD"/>
    <w:multiLevelType w:val="hybridMultilevel"/>
    <w:tmpl w:val="B0ECFE70"/>
    <w:lvl w:ilvl="0" w:tplc="91865EBE">
      <w:start w:val="1"/>
      <w:numFmt w:val="bullet"/>
      <w:lvlText w:val="●"/>
      <w:lvlJc w:val="left"/>
      <w:pPr>
        <w:ind w:left="720" w:hanging="360"/>
      </w:pPr>
    </w:lvl>
    <w:lvl w:ilvl="1" w:tplc="0A8AAE0C">
      <w:start w:val="1"/>
      <w:numFmt w:val="bullet"/>
      <w:lvlText w:val="○"/>
      <w:lvlJc w:val="left"/>
      <w:pPr>
        <w:ind w:left="1440" w:hanging="360"/>
      </w:pPr>
    </w:lvl>
    <w:lvl w:ilvl="2" w:tplc="6F1A91F4">
      <w:start w:val="1"/>
      <w:numFmt w:val="bullet"/>
      <w:lvlText w:val="■"/>
      <w:lvlJc w:val="left"/>
      <w:pPr>
        <w:ind w:left="2160" w:hanging="360"/>
      </w:pPr>
    </w:lvl>
    <w:lvl w:ilvl="3" w:tplc="A03EE5BE">
      <w:start w:val="1"/>
      <w:numFmt w:val="bullet"/>
      <w:lvlText w:val="●"/>
      <w:lvlJc w:val="left"/>
      <w:pPr>
        <w:ind w:left="2880" w:hanging="360"/>
      </w:pPr>
    </w:lvl>
    <w:lvl w:ilvl="4" w:tplc="2638878C">
      <w:start w:val="1"/>
      <w:numFmt w:val="bullet"/>
      <w:lvlText w:val="○"/>
      <w:lvlJc w:val="left"/>
      <w:pPr>
        <w:ind w:left="3600" w:hanging="360"/>
      </w:pPr>
    </w:lvl>
    <w:lvl w:ilvl="5" w:tplc="94CE4666">
      <w:start w:val="1"/>
      <w:numFmt w:val="bullet"/>
      <w:lvlText w:val="■"/>
      <w:lvlJc w:val="left"/>
      <w:pPr>
        <w:ind w:left="4320" w:hanging="360"/>
      </w:pPr>
    </w:lvl>
    <w:lvl w:ilvl="6" w:tplc="27348330">
      <w:start w:val="1"/>
      <w:numFmt w:val="bullet"/>
      <w:lvlText w:val="●"/>
      <w:lvlJc w:val="left"/>
      <w:pPr>
        <w:ind w:left="5040" w:hanging="360"/>
      </w:pPr>
    </w:lvl>
    <w:lvl w:ilvl="7" w:tplc="422282A4">
      <w:start w:val="1"/>
      <w:numFmt w:val="bullet"/>
      <w:lvlText w:val="●"/>
      <w:lvlJc w:val="left"/>
      <w:pPr>
        <w:ind w:left="5760" w:hanging="360"/>
      </w:pPr>
    </w:lvl>
    <w:lvl w:ilvl="8" w:tplc="59660B80">
      <w:start w:val="1"/>
      <w:numFmt w:val="bullet"/>
      <w:lvlText w:val="●"/>
      <w:lvlJc w:val="left"/>
      <w:pPr>
        <w:ind w:left="6480" w:hanging="360"/>
      </w:pPr>
    </w:lvl>
  </w:abstractNum>
  <w:abstractNum w:abstractNumId="1" w15:restartNumberingAfterBreak="0">
    <w:nsid w:val="49AB56BB"/>
    <w:multiLevelType w:val="hybridMultilevel"/>
    <w:tmpl w:val="28B86AE8"/>
    <w:lvl w:ilvl="0" w:tplc="E8128D4C">
      <w:start w:val="1"/>
      <w:numFmt w:val="bullet"/>
      <w:lvlText w:val="•"/>
      <w:lvlJc w:val="left"/>
      <w:pPr>
        <w:ind w:left="431" w:hanging="259"/>
      </w:pPr>
    </w:lvl>
    <w:lvl w:ilvl="1" w:tplc="4864A058">
      <w:numFmt w:val="decimal"/>
      <w:lvlText w:val=""/>
      <w:lvlJc w:val="left"/>
    </w:lvl>
    <w:lvl w:ilvl="2" w:tplc="DC30A956">
      <w:numFmt w:val="decimal"/>
      <w:lvlText w:val=""/>
      <w:lvlJc w:val="left"/>
    </w:lvl>
    <w:lvl w:ilvl="3" w:tplc="F434018E">
      <w:numFmt w:val="decimal"/>
      <w:lvlText w:val=""/>
      <w:lvlJc w:val="left"/>
    </w:lvl>
    <w:lvl w:ilvl="4" w:tplc="E75C52EA">
      <w:numFmt w:val="decimal"/>
      <w:lvlText w:val=""/>
      <w:lvlJc w:val="left"/>
    </w:lvl>
    <w:lvl w:ilvl="5" w:tplc="6D2CB0EC">
      <w:numFmt w:val="decimal"/>
      <w:lvlText w:val=""/>
      <w:lvlJc w:val="left"/>
    </w:lvl>
    <w:lvl w:ilvl="6" w:tplc="C2F84858">
      <w:numFmt w:val="decimal"/>
      <w:lvlText w:val=""/>
      <w:lvlJc w:val="left"/>
    </w:lvl>
    <w:lvl w:ilvl="7" w:tplc="E3BE8638">
      <w:numFmt w:val="decimal"/>
      <w:lvlText w:val=""/>
      <w:lvlJc w:val="left"/>
    </w:lvl>
    <w:lvl w:ilvl="8" w:tplc="7D1C0F8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8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76"/>
    <w:rsid w:val="00035FF1"/>
    <w:rsid w:val="00096355"/>
    <w:rsid w:val="00157E22"/>
    <w:rsid w:val="001668EE"/>
    <w:rsid w:val="001B1BF6"/>
    <w:rsid w:val="00236D20"/>
    <w:rsid w:val="00293979"/>
    <w:rsid w:val="002C7766"/>
    <w:rsid w:val="002F7044"/>
    <w:rsid w:val="00304DCA"/>
    <w:rsid w:val="00333376"/>
    <w:rsid w:val="004606AE"/>
    <w:rsid w:val="0048534C"/>
    <w:rsid w:val="004B5992"/>
    <w:rsid w:val="00550D9F"/>
    <w:rsid w:val="005C090A"/>
    <w:rsid w:val="005C7292"/>
    <w:rsid w:val="005E194F"/>
    <w:rsid w:val="0061526E"/>
    <w:rsid w:val="00624173"/>
    <w:rsid w:val="0062532D"/>
    <w:rsid w:val="00660D92"/>
    <w:rsid w:val="006676EF"/>
    <w:rsid w:val="006727D4"/>
    <w:rsid w:val="0070091D"/>
    <w:rsid w:val="00772EE4"/>
    <w:rsid w:val="00787022"/>
    <w:rsid w:val="00843514"/>
    <w:rsid w:val="008725A6"/>
    <w:rsid w:val="008C4643"/>
    <w:rsid w:val="009D7930"/>
    <w:rsid w:val="00A05B6C"/>
    <w:rsid w:val="00A07834"/>
    <w:rsid w:val="00BD0848"/>
    <w:rsid w:val="00BD1B19"/>
    <w:rsid w:val="00CB03F2"/>
    <w:rsid w:val="00D36CD6"/>
    <w:rsid w:val="00DA1746"/>
    <w:rsid w:val="00F13D23"/>
    <w:rsid w:val="00F71D8E"/>
    <w:rsid w:val="00FC08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802E"/>
  <w15:docId w15:val="{7CF8A36F-1E44-471B-80CE-0461BB823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6EF"/>
    <w:pPr>
      <w:widowControl w:val="0"/>
    </w:pPr>
  </w:style>
  <w:style w:type="paragraph" w:styleId="Heading1">
    <w:name w:val="heading 1"/>
    <w:link w:val="Heading1Char"/>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6676EF"/>
    <w:rPr>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user</cp:lastModifiedBy>
  <cp:revision>38</cp:revision>
  <dcterms:created xsi:type="dcterms:W3CDTF">2026-07-25T00:03:00Z</dcterms:created>
  <dcterms:modified xsi:type="dcterms:W3CDTF">2026-07-27T09:05:00Z</dcterms:modified>
</cp:coreProperties>
</file>